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https://www.autoritedelaconcurrence.fr/fr/decision/relative-des-pratiques-mises-en-oeuvre-sur-le-marche-de-lassistance-fonciere-de-0</w:t>
      </w:r>
    </w:p>
    <w:p>
      <w:r>
        <w:t>Pages translated : 36</w:t>
      </w:r>
    </w:p>
    <w:p/>
    <w:p>
      <w:r>
        <w:rPr>
          <w:b/>
        </w:rPr>
        <w:t>[Pages 1–3]</w:t>
      </w:r>
    </w:p>
    <w:p>
      <w:r>
        <w:t xml:space="preserve">FRENCH REPUBLIC  </w:t>
        <w:br/>
        <w:t xml:space="preserve">Decision No. 16-D-28 of December 6, 2016  </w:t>
        <w:br/>
        <w:t xml:space="preserve">regarding practices implemented in the market for land assistance of the public land establishment of West Rhône-Alpes  </w:t>
        <w:br/>
        <w:t xml:space="preserve">The Competition Authority (section II);  </w:t>
        <w:br/>
        <w:t xml:space="preserve">Having regard to decision No. 15-SO-02 of February 26, 2015, registered under number 15/0015F, by which the Competition Authority initiated proceedings ex officio regarding practices implemented in the market for land assistance of the public land establishment of West Rhône-Alpes;  </w:t>
        <w:br/>
        <w:t xml:space="preserve">Having regard to the decision of the general rapporteur dated July 11, 2016, made pursuant to Article L. 463-3 of the Commercial Code, which provides that the matter will be subject to a decision by the Competition Authority without prior establishment of a report;  </w:t>
        <w:br/>
        <w:t xml:space="preserve">Having regard to the minutes of the transaction dated September 22, 2016, signed by the deputy general rapporteur of the Authority and the companies EURL SETIS and Groupe Degaud pursuant to the provisions of III of Article L. 464-2 of the Commercial Code;  </w:t>
        <w:br/>
        <w:t xml:space="preserve">Having regard to the decisions relating to business secrecy No. 16-DSA-83 of April 5, 2016, No. 16-DSA-102 of April 27, 2016, No. 16-DSA-121 of June 1, 2016, No. 16-DSA-167 of July 5, 2016;  </w:t>
        <w:br/>
        <w:t xml:space="preserve">Having regard to the declassification decision No. 16-DECR-142 of June 10, 2016;  </w:t>
        <w:br/>
        <w:t xml:space="preserve">Having regard to Book IV of the amended Commercial Code and in particular its Article L. 420-1;  </w:t>
        <w:br/>
        <w:t xml:space="preserve">Having regard to the other documents in the file;  </w:t>
        <w:br/>
        <w:t xml:space="preserve">Having regard to the observations presented by the company Services, Conseil, Expertises et Territoires (hereinafter "SCET"), the Groupe Caisse des dépôts et consignations, and the Government Commissioner;  </w:t>
        <w:br/>
        <w:t xml:space="preserve">The rapporteur, the deputy general rapporteur, the Government Commissioner, and the representatives of SCET and the Groupe Caisse des dépôts et consignations, heard during the session of the Competition Authority on November 3, 2016;  </w:t>
        <w:br/>
        <w:t>Adopts the following decision:</w:t>
      </w:r>
    </w:p>
    <w:p>
      <w:r>
        <w:t xml:space="preserve">Summary1  </w:t>
        <w:br/>
        <w:t xml:space="preserve">In the decision below, the Authority jointly condemns the company SCET as the author and the Groupe Caisse des Dépôts et consignations as the parent entity to a fine of 560,000 euros due to SCET's participation, starting from April 2012, in a horizontal agreement with the company Services, Conseil, Expertises et Territoires (SETIS) during the awarding of the land assistance contract of the Public Land Establishment of West Rhône-Alpes (EPORA), in violation of Article L. 420-1 of the Commercial Code.  </w:t>
        <w:br/>
        <w:t xml:space="preserve">The purpose of this anti-competitive agreement was the allocation of subsequent contracts following the two framework agreements concluded by EPORA respectively with the companies SCET and SETIS in 2011, through an exchange of sensitive information prior to the awarding of these contracts.  </w:t>
        <w:br/>
        <w:t>1 This summary is strictly informative. Only the reasons for the decision numbered below are authoritative.</w:t>
      </w:r>
    </w:p>
    <w:p>
      <w:r>
        <w:t xml:space="preserve">SUMMARY  </w:t>
        <w:br/>
        <w:t xml:space="preserve">I. REMINDER OF THE PROCEDURE ............................................................................................. 5  </w:t>
        <w:br/>
        <w:t xml:space="preserve">II. FINDINGS............................................................................................................................ 5  </w:t>
        <w:br/>
        <w:t xml:space="preserve">A. The public contracts concerned ....................................................................... 5  </w:t>
        <w:br/>
        <w:t xml:space="preserve">1. Presentation of the Public Land Establishment of West Rhône-Alpes ..... 5  </w:t>
        <w:br/>
        <w:t xml:space="preserve">2. The calls for tenders ............................................................................................ 6  </w:t>
        <w:br/>
        <w:t xml:space="preserve">a) The framework agreements ................................................................................ 6  </w:t>
        <w:br/>
        <w:t xml:space="preserve">b) The subsequent contracts .................................................................................. 7  </w:t>
        <w:br/>
        <w:t xml:space="preserve">B. The companies involved .................................................................................. 10  </w:t>
        <w:br/>
        <w:t xml:space="preserve">1. The company SA Services, Conseil, Expertises et Territoires ............................ 10  </w:t>
        <w:br/>
        <w:t xml:space="preserve">2. EURL SETIS ........................................................................................................ 10  </w:t>
        <w:br/>
        <w:t xml:space="preserve">C. The behaviors noted ....................................................................................... 11  </w:t>
        <w:br/>
        <w:t xml:space="preserve">1. The price exchanges between candidates for the awarding of the framework agreements . 11  </w:t>
        <w:br/>
        <w:t xml:space="preserve">a) The material elements collected........................................................................ 11  </w:t>
        <w:br/>
        <w:t xml:space="preserve">b) The dates of the exchanges ................................................................................ 12  </w:t>
        <w:br/>
        <w:t xml:space="preserve">2. The allocation of subsequent contracts ............................................................ 13  </w:t>
        <w:br/>
        <w:t xml:space="preserve">a) On sector 1 A: Roanne, crown, periphery of the Monts de la Madeleine ........................................................................................................ 14  </w:t>
        <w:br/>
        <w:t xml:space="preserve">b) On sector 2: north-west Rhône region ............................................................ 14  </w:t>
        <w:br/>
        <w:t xml:space="preserve">c) On sector 3A: Saint-Étienne, Vallée de l’Ondaine, Vallée du Gier, Plaine de Forez ................................................................................................ 15  </w:t>
        <w:br/>
        <w:t xml:space="preserve">d) On sector 4: North Drôme, north Ardèche, north Isère, south Rhône ...... 15  </w:t>
        <w:br/>
        <w:t xml:space="preserve">3. The difficulties in managing EPORA's contracts ........................................... 16  </w:t>
        <w:br/>
        <w:t xml:space="preserve">D. The notified grievance .................................................................................... 17  </w:t>
        <w:br/>
        <w:t xml:space="preserve">III. DISCUSSION ................................................................................................................ 17  </w:t>
        <w:br/>
        <w:t xml:space="preserve">A. On the regularity of the procedure ................................................................. 17  </w:t>
        <w:br/>
        <w:t xml:space="preserve">1. On the regularity of the investigations conducted at the SCET agency in Dijon on April 3, 2014 ........................................................................................... 17  </w:t>
        <w:br/>
        <w:t xml:space="preserve">a) In law ................................................................................................................ 18  </w:t>
        <w:br/>
        <w:t xml:space="preserve">b) In this case ........................................................................................................ 19  </w:t>
        <w:br/>
        <w:t xml:space="preserve">2. On the alleged non-compliance of the provisions of the fifth paragraph of Article L. 450-3 of the Commercial Code with the Constitution and the European Convention for the Protection of Human Rights and Fundamental Freedoms ............................................................................................................................. 20  </w:t>
        <w:br/>
        <w:t>3</w:t>
      </w:r>
    </w:p>
    <w:p>
      <w:r>
        <w:rPr>
          <w:b/>
        </w:rPr>
        <w:t>[Pages 4–6]</w:t>
      </w:r>
    </w:p>
    <w:p>
      <w:r>
        <w:t xml:space="preserve">a) Regarding the right to an effective judicial remedy and the right to a fair trial ............................................................................................... 20  </w:t>
        <w:br/>
        <w:t xml:space="preserve">b) Regarding the principle of legal certainty ............................................... 21  </w:t>
        <w:br/>
        <w:t xml:space="preserve">c) Regarding the right to respect for private life, the principle of the inviolability of the home, and the principle of the secrecy of correspondence ............................. 22  </w:t>
        <w:br/>
        <w:t xml:space="preserve">B. On the merits of the notified grievance ................................................................. 23  </w:t>
        <w:br/>
        <w:t xml:space="preserve">1. Reminder of the applicable principles .................................................................... 23  </w:t>
        <w:br/>
        <w:t xml:space="preserve">2. Assessment in this case ......................................................................................... 24  </w:t>
        <w:br/>
        <w:t xml:space="preserve">Conclusion ............................................................................................................ 27  </w:t>
        <w:br/>
        <w:t xml:space="preserve">C. On the attribution of practices ................................................................... 27  </w:t>
        <w:br/>
        <w:t xml:space="preserve">1. In law ........................................................................................................... 27  </w:t>
        <w:br/>
        <w:t xml:space="preserve">2. Application to the case at hand ........................................................................... 28  </w:t>
        <w:br/>
        <w:t xml:space="preserve">a) On the attribution of practices to SCET as the author .................... 28  </w:t>
        <w:br/>
        <w:t xml:space="preserve">b) On the attribution of practices to the CDC Group as the parent entity .. 28  </w:t>
        <w:br/>
        <w:t xml:space="preserve">IV. ON THE SANCTION ...................................................................................................... 29  </w:t>
        <w:br/>
        <w:t xml:space="preserve">1. On the determination of the base amount of the sanction .............................. 30  </w:t>
        <w:br/>
        <w:t xml:space="preserve">a) On the basis of the sanction ........................................................................ 30  </w:t>
        <w:br/>
        <w:t xml:space="preserve">b) On the severity of the practices ........................................................................ 31  </w:t>
        <w:br/>
        <w:t xml:space="preserve">c) On the significance of the damage caused to the economy .................................... 32  </w:t>
        <w:br/>
        <w:t xml:space="preserve">Reminder of the principles ............................................................................................. 32  </w:t>
        <w:br/>
        <w:t xml:space="preserve">Application in this case ........................................................................................ 33  </w:t>
        <w:br/>
        <w:t xml:space="preserve">d) Conclusion on the base amount ............................................................. 34  </w:t>
        <w:br/>
        <w:t xml:space="preserve">2. On the consideration of circumstances specific to SCET .......................... 34  </w:t>
        <w:br/>
        <w:t xml:space="preserve">a) Reminder of the applicable principles ................................................................ 34  </w:t>
        <w:br/>
        <w:t xml:space="preserve">b) Application in this case ............................................................................... 35  </w:t>
        <w:br/>
        <w:t xml:space="preserve">3. On the contributory capacity of SCET ........................................................ 35  </w:t>
        <w:br/>
        <w:t xml:space="preserve">4. On the final amount of the sanction ................................................................ 36  </w:t>
        <w:br/>
        <w:t xml:space="preserve">DECISION ............................................................................................. 36  </w:t>
        <w:br/>
        <w:t xml:space="preserve">I. Reminder of the procedure  </w:t>
        <w:br/>
        <w:t xml:space="preserve">1. The Competition Authority took up the case ex officio, by decision of February 26, 2015 (reference 1), regarding the practices implemented in the market for land assistance of the public land establishment of West Rhône-Alpes (hereinafter EPORA).  </w:t>
        <w:br/>
        <w:t xml:space="preserve">2. This ex officio action, registered under number 15/0015 F, follows the transmission of an investigation report prepared by the General Directorate for Competition, Consumer Affairs and Fraud Control (hereinafter DGCCRF) concluding, on the one hand, to a prior price exchange between the companies SCET and SETIS (hereinafter "SETIS"), declared as awardees of two framework agreements for land assistance missions launched by EPORA in 2011, and on the other hand, to a practice of distributing eleven subsequent contracts to these framework agreements.  </w:t>
        <w:br/>
        <w:t xml:space="preserve">3. A decision of July 11, 2016, by the general rapporteur taken under Article L. 463-3 of the Commercial Code states that the case will be subject to a decision by the Competition Authority without prior establishment of a report.  </w:t>
        <w:br/>
        <w:t xml:space="preserve">4. On July 11, 2016, the general rapporteur of the Authority sent a simplified notification of grievances for practices prohibited by Article L. 420-1 of the Commercial Code to the following companies:  </w:t>
        <w:br/>
        <w:t xml:space="preserve">- SA SCET, as the author  </w:t>
        <w:br/>
        <w:t xml:space="preserve">- Caisse des dépôts et consignations Group as the parent entity,  </w:t>
        <w:br/>
        <w:t xml:space="preserve">- EURL SETIS, as the author,  </w:t>
        <w:br/>
        <w:t xml:space="preserve">- Degaud Group, as the parent company.  </w:t>
        <w:br/>
        <w:t xml:space="preserve">II. Findings  </w:t>
        <w:br/>
        <w:t xml:space="preserve">A. THE PUBLIC CONTRACTS CONCERNED  </w:t>
        <w:br/>
        <w:t xml:space="preserve">1. PRESENTATION OF THE PUBLIC LAND ESTABLISHMENT OF WEST RHÔNE-ALPES  </w:t>
        <w:br/>
        <w:t xml:space="preserve">5. The public land establishment of West Rhône-Alpes (hereinafter EPORA) is a public establishment of an industrial and commercial nature of the State located in Saint-Étienne. It was created by decree no. 98-923 of October 14, 1998.  </w:t>
        <w:br/>
        <w:t xml:space="preserve">6. In accordance with the provisions of Article L. 321-1 of the Urban Planning Code, EPORA is authorized to carry out all land acquisitions and real estate and land operations aimed at facilitating development. It may also carry out the studies and works necessary for their completion, and, if necessary, participate in their financing. These missions may be carried out by the establishment either on its own behalf or on behalf of the State and its public establishments, or for local authorities and their groupings or their public establishments under agreements made with them.  </w:t>
        <w:br/>
        <w:t xml:space="preserve">7. EPORA has jurisdiction over the entire territory of the departments of Loire, Ardèche, and Drôme, as well as in the cantons of the departments of Isère and Rhône and in the municipalities or public establishments of inter-municipal cooperation with their own taxation, the list of which is annexed to the decree of October 14, 1998, as amended.  </w:t>
        <w:br/>
        <w:t xml:space="preserve">8. The activities of the establishment are carried out within the framework of a multi-annual intervention program (PPI) provided for in Articles L. 321-5 and following of the Urban Planning Code. The 2009-2013 PPI is structured around two priorities:  </w:t>
        <w:br/>
        <w:t xml:space="preserve">- promoting the sustainable development of territories;  </w:t>
        <w:br/>
        <w:t xml:space="preserve">- acting for social cohesion, primarily through the production of social housing.  </w:t>
        <w:br/>
        <w:t xml:space="preserve">9. It emerges from the statements of Mr. X... and Mrs. Y..., respectively regional director and legal advisor of EPORA, that the establishment is currently focusing its efforts on the development of economic offerings, housing offerings, particularly social, and more marginally on the creation of land for environmental protection. EPORA ensures, in this regard, land acquisitions and real estate and land operations aimed at facilitating the subsequent development of the land by the local authorities. Specifically, the establishment acquires, demolishes, and decontaminates land on behalf of the local authorities before reselling it to them.  </w:t>
        <w:br/>
        <w:t xml:space="preserve">2. THE TENDERS  </w:t>
        <w:br/>
        <w:t xml:space="preserve">10. On August 2, 2011, EPORA launched a call for tenders for the conclusion of framework agreements for land assistance missions for project management (programming, acquisition, management, and disposal of assets) within the framework of public utility declaration procedures implemented in its intervention territories. These two contracts were awarded according to the open tender procedure defined by Articles 33 and 57 to 59 of the Public Procurement Code. Based on these framework agreements, EPORA launched, starting in April 2012, consultations for the awarding of subsequent contracts.  </w:t>
        <w:br/>
        <w:t xml:space="preserve">a) The framework agreements  </w:t>
        <w:br/>
        <w:t xml:space="preserve">11. The services that could be executed within the entire scope of competence of EPORA were divided into two lots, each subject to a distinct framework agreement. Lot no. 1 concerned industrial, commercial, or activity zones and dense urban areas (collective or dense individual housing). Lot no. 2 concerned rural or peri-urban areas (dispersed or isolated individual housing) and agricultural, natural, or forest areas.  </w:t>
        <w:br/>
        <w:t xml:space="preserve">12. Under the terms of the special administrative clauses common to both lots, each framework agreement is multi-awardee. Its duration is twelve months, renewable three times, by express decision of EPORA, and may not exceed four years. It is concluded without minimum or maximum amount.  </w:t>
        <w:br/>
        <w:t>13. Article 7.6 of the special administrative clauses provides that "the holders of the framework agreement must submit an offer at each re-competition of the contracts based on the framework agreement. For each year, they are allowed not to respond to three consultations; beyond that, the contracting authority will be entitled to terminate the framework agreement for the defaulting provider without formal notice or right to compensation."</w:t>
      </w:r>
    </w:p>
    <w:p>
      <w:r>
        <w:rPr>
          <w:b/>
        </w:rPr>
        <w:t>[Pages 7–9]</w:t>
      </w:r>
    </w:p>
    <w:p>
      <w:r>
        <w:t>14. Article 9.3 stipulates that "when awarding contracts concluded on the basis of this framework agreement, the holder undertakes to limit, at each re-competition, the increase in prices detailed in the unit price schedule or the DPGF of the framework agreement to 20%."</w:t>
      </w:r>
    </w:p>
    <w:p>
      <w:r>
        <w:t>15. The evaluation criteria for the offers, common to both lots, were weighted as follows:</w:t>
        <w:br/>
        <w:t>- human and technical resources made available: 40%</w:t>
        <w:br/>
        <w:t>- methodological note: 30%</w:t>
        <w:br/>
        <w:t>- price of services: 30%</w:t>
      </w:r>
    </w:p>
    <w:p>
      <w:r>
        <w:t>16. At the end of the consultation, lot no. 1 was awarded to SCET and lot no. 2 to SETIS.</w:t>
      </w:r>
    </w:p>
    <w:p>
      <w:r>
        <w:t>17. In July 2012, EPORA concluded an amendment to the framework agreement with each of the awardees aimed at modifying the price unit of two service items (the public inquiry file and the administrative follow-up of public inquiries prior to the declaration of public utility). The unit prices, initially expressed in terms of the number of owners affected by the land operations, were therefore expressed as a flat rate per file.</w:t>
      </w:r>
    </w:p>
    <w:p>
      <w:r>
        <w:t>b) Subsequent contracts</w:t>
      </w:r>
    </w:p>
    <w:p>
      <w:r>
        <w:t>18. Between April 2012 and January 2013, EPORA launched consultations for the awarding of twelve subsequent contracts related to the two geographical lots of the framework agreements. Each lot was divided into four sectors as follows:</w:t>
        <w:br/>
        <w:t>- sector 1A: Roanne, crown, periphery of the Monts de la Madeleine,</w:t>
        <w:br/>
        <w:t>- sector 2: North-West Rhône,</w:t>
        <w:br/>
        <w:t>- sector 3A: Saint-Étienne, Ondaine Valley, Gier Valley, Forez Plain,</w:t>
        <w:br/>
        <w:t>- sector 4: North Drôme, North Ardèche, North Isère, South Rhône.</w:t>
      </w:r>
    </w:p>
    <w:p>
      <w:r>
        <w:t>19. The award criteria for the offers were identical to those defined for each lot. The table below details, for each contract, its characteristics, the submitted offers, and the selected company:</w:t>
      </w:r>
    </w:p>
    <w:p>
      <w:r>
        <w:t>| CONTRACTS | DEADLINE FOR SUBMISSION | DATE OF AWARD | SETIS | SCET |</w:t>
        <w:br/>
        <w:t>|-----------|-------------------------|----------------|-------|------|</w:t>
        <w:br/>
        <w:t>| DQE2: 126 | DQE: 136               | 870 € HT       | 220 € HT |  |</w:t>
        <w:br/>
        <w:t>| No. 12-069 – Lot 1 – Sector Roanne – Price Increase | 16 April 2012 | 4 June 2012 | Site Gambetta Republic | 5.5% | 0% |</w:t>
        <w:br/>
        <w:t>| DQE: | 49,066 € HT | No. 12-118 – Lot 2 – Sector 4 – North Drôme – North Ardèche – North Isère – South Rhône | 1 October 2012 | Inacceptable Offer: Market declared unsuccessful. | No submission of offers due to non-compliance with financial conditions of the framework agreement – item 2004: +25.5% |</w:t>
        <w:br/>
        <w:t>| DQE: | 49,042 € HT | DQE: | 57,588 € HT | No. 12-144 (relaunch of contract no. 12-118) – Price Increase | 20 November 2012 | 7 December 2012 | Inacceptable Offer: non-compliance with financial conditions of the framework agreement: +37.14% |</w:t>
        <w:br/>
        <w:t>| DQE: | 67,668 € HT | No. 12-119 – Lot 1 – Sector 4 – North Drôme – North Ardèche – North Isère – South Rhône | 1 October 2012 | 23 October 2012 | Apology letter |  |</w:t>
        <w:br/>
        <w:t>| DQE: | 67,668 € HT | No. 12-123 – Lot 1 – Sector 2 – North-West Rhône | 6 November 2012 | 14 November 2012 | No submission of offers due to price increase: 20% |</w:t>
        <w:br/>
        <w:t>| Contract no. 12-125 DQE: | 57,588 € HT | Lot 2 – Sector 2 – North-West Rhône | 6 November 2012 | Inacceptable Offer: no submission of offers due to non-compliance with financial conditions of the framework agreement – item 601.1: +37.14% |</w:t>
        <w:br/>
        <w:t>| Contract no. 12-130 DQE: | 55,335 € HT | Lot 1 – Sector 3A – St-Etienne – Ondaine Valley – Gier Valley – Forez Plain | 9 November 2012 | 14 November 2012 | Inacceptable Offer: non-compliance with financial conditions of the framework agreement: +22.13% and item 1050.1: +41.18% |</w:t>
        <w:br/>
        <w:t>| DQE: | 51,129 € HT | No. 12-131 – Lot 2 – Sector 3A – St-Etienne – Ondaine Valley – Gier Valley – Forez Plain | 9 November 2012 | 14 November 2012 | Inacceptable Offer: non-compliance with financial conditions of the framework agreement: +18.4% and item 1050.1: +41.18%; item 1200.3: +23.46% and item 1070: +77.78% |</w:t>
        <w:br/>
        <w:t>| No. 12-132 – Lot 2 Sector 1A – Market declared unsuccessful | Roanne, Crown, Periphery of the Monts de la Madeleine | 9 November 2012 | Inacceptable Offer: irregular: non-compliance with financial conditions of engagement not submitted. | DQE: No submission of offers | 48,858 € HT |</w:t>
      </w:r>
    </w:p>
    <w:p>
      <w:r>
        <w:rPr>
          <w:b/>
        </w:rPr>
        <w:t>[Pages 10–12]</w:t>
      </w:r>
    </w:p>
    <w:p>
      <w:r>
        <w:t xml:space="preserve">N°13-005 (relaunch Increase of contract no. 12- 3 January 2013 15 January 2013 SETIS </w:t>
        <w:br/>
        <w:t xml:space="preserve">132) regarding the framework agreement: 19.5% </w:t>
        <w:br/>
        <w:t xml:space="preserve">N° 12-133 – Lot 1 DQE: DQE: </w:t>
        <w:br/>
        <w:t xml:space="preserve">– Sector 1 A – 57 782 € HT 67 668 € HT </w:t>
        <w:br/>
        <w:t xml:space="preserve">Declared contract </w:t>
        <w:br/>
        <w:t xml:space="preserve">Roanne, Crown, </w:t>
        <w:br/>
        <w:t xml:space="preserve">Offer Unsuccessful offer. </w:t>
        <w:br/>
        <w:t xml:space="preserve">Periphery of 9 November 2012 </w:t>
        <w:br/>
        <w:t xml:space="preserve">unacceptable: irregular: Consultation </w:t>
        <w:br/>
        <w:t xml:space="preserve">Monts de la </w:t>
        <w:br/>
        <w:t xml:space="preserve">non-compliance with act relaunched. </w:t>
        <w:br/>
        <w:t xml:space="preserve">Madeleine </w:t>
        <w:br/>
        <w:t xml:space="preserve">financial commitment conditions not submitted </w:t>
        <w:br/>
        <w:t xml:space="preserve">N°13-006 (relaunch DQE: </w:t>
        <w:br/>
        <w:t xml:space="preserve">of contract no. 12- 57 782 € HT </w:t>
        <w:br/>
        <w:t xml:space="preserve">No offer discount </w:t>
        <w:br/>
        <w:t xml:space="preserve">133) </w:t>
        <w:br/>
        <w:t xml:space="preserve">Price increase </w:t>
        <w:br/>
        <w:t xml:space="preserve">3 January 2013 15 January 2013 SETIS </w:t>
        <w:br/>
        <w:t xml:space="preserve">compared to </w:t>
        <w:br/>
        <w:t xml:space="preserve">the framework agreement: 19.5% </w:t>
        <w:br/>
        <w:t xml:space="preserve">B. THE COMPANIES INVOLVED </w:t>
        <w:br/>
        <w:t xml:space="preserve">1. THE COMPANY SA SERVICES, ADVICE, EXPERTISE AND TERRITORIES </w:t>
        <w:br/>
        <w:t xml:space="preserve">20. SCET is a public project engineering company that supports local authorities, local public enterprises, or social landlords in the design, implementation, and management of their projects. SCET is a subsidiary of the Caisse des dépôts et consignations Group. </w:t>
        <w:br/>
        <w:t xml:space="preserve">21. SCET is structured into different divisions, including the land division, subdivided into agencies. Each agency has a director and dedicated staff. The agencies located in Lyon and Dijon, managed by Ms. Michèle B... since January 10, 2012, have both intervened in the context of EPORA's land assistance contracts. </w:t>
        <w:br/>
        <w:t xml:space="preserve">22. In 2011, SCET achieved a turnover of over 65 million euros. </w:t>
        <w:br/>
        <w:t xml:space="preserve">2. EURL SETIS </w:t>
        <w:br/>
        <w:t xml:space="preserve">23. SETIS is engaged in engineering and conducting technical studies for land use planning and the environment. SETIS is a subsidiary of the Degaud group. </w:t>
        <w:br/>
        <w:t xml:space="preserve">24. The management of SETIS is ensured by three co-managers. Each has a specific area of expertise and enjoys decision-making autonomy within this area. Mr. Z..., co-manager, is responsible for "environment, land action, and legal" activities. </w:t>
        <w:br/>
        <w:t>25. In 2011, SETIS achieved a turnover of approximately 6.6 million euros.</w:t>
      </w:r>
    </w:p>
    <w:p>
      <w:r>
        <w:t xml:space="preserve">C. THE BEHAVIORS IDENTIFIED </w:t>
        <w:br/>
        <w:t xml:space="preserve">1. PRICE EXCHANGES BETWEEN CANDIDATES FOR THE AWARD OF FRAMEWORK AGREEMENTS </w:t>
        <w:br/>
        <w:t xml:space="preserve">a) The material elements collected </w:t>
        <w:br/>
        <w:t xml:space="preserve">26. During their first intervention at the Dijon agency of SCET on April 3, 2014, competition agents collected, on CD-Rom, a digital copy of the files related to the EPORA contract. (references 110 to 1784). </w:t>
        <w:br/>
        <w:t xml:space="preserve">27. The screen copy provided contains a file titled "AO DIJON 2012 EPORA". This file contains a sub-folder "EPORA various" which includes 3 files: </w:t>
        <w:br/>
        <w:t xml:space="preserve">- the unit price schedule for lot 1 of the framework agreement of the company SETIS (references 110 to 113); </w:t>
        <w:br/>
        <w:t xml:space="preserve">- the unit price schedule for lot 2 of the framework agreement of the company SETIS (references 114 to 117); </w:t>
        <w:br/>
        <w:t xml:space="preserve">- an Excel document named "DQE simulation lot 1 and 2_SCET_SETIS.xlsx" (references 118 to 122). </w:t>
        <w:br/>
        <w:t xml:space="preserve">28. This last document contains five sheets: </w:t>
        <w:br/>
        <w:t xml:space="preserve">- lot 1_SCET: including the DQE of SCET for lot 1 with a price increase simulation of 18% and 20%; </w:t>
        <w:br/>
        <w:t xml:space="preserve">- lot 2_SCET: including the DQE of SCET for lot 2 with a price increase simulation of 18% and 20%; </w:t>
        <w:br/>
        <w:t xml:space="preserve">- lot 1_SETIS: including the DQE of SETIS for lot 1 with a price increase simulation of 18% and 20%; </w:t>
        <w:br/>
        <w:t xml:space="preserve">- lot 2_SETIS: including the DQE of SETIS for lot 2 with a price increase simulation of 18% and 20%; </w:t>
        <w:br/>
        <w:t xml:space="preserve">- lot 1_SCET St-Etienne including the DQE of SCET for lot 1 with a price increase simulation of 13% and 20%. </w:t>
        <w:br/>
        <w:t xml:space="preserve">29. The unit price schedules (BPU) of SETIS for lots 1 and 2 of the framework agreement collected at the SCET premises are in PDF format, dated September 15, 2011, and mention Mr. Z... as the signatory. However, they are not signed and do not bear the seal of the company SETIS. </w:t>
        <w:br/>
        <w:t xml:space="preserve">30. The properties of these BPUs indicate a registration and last modification date of October 26, 2012, by a person designated as "EA...". Mr. Z... indicated that the author of these documents is Ms. A..., employed by the Degaud Group, the parent company of SETIS. Ms. A... holds the position of market assistant on behalf of the group companies. She contributed to the preparation of the response file to the call for tenders for EPORA's land assistance missions. </w:t>
        <w:br/>
        <w:t>31. An analysis software was used to calculate the respective digital fingerprints of the BPUs (lots 1 and 2) of the framework agreement of the company SETIS copied from SCET and that made available by Mr. Z... (references 2514 to 2578). The comparison of the analysis results reveals a strict digital identity of the unit price schedules originating from the companies SCET and SETIS.</w:t>
      </w:r>
    </w:p>
    <w:p>
      <w:r>
        <w:t xml:space="preserve">32. During her hearing on July 9, 2014, Ms. B... stated: "I declared that I did not know the prices of my competitor SETIS. You inform me that you found the BPUs of the framework agreement of SETIS in my Dijon agency. Indeed, I became aware of the prices of SETIS at the end of November 2012." She added: "I communicated my prices to Mr. Z..., co-manager of SETIS, towards the end of 2012, as he had previously communicated his to me by email. The director of the financial division was not aware of these exchanges with SETIS. I do not remember who initiated this exchange." (references 1899 to 1902). </w:t>
        <w:br/>
        <w:t xml:space="preserve">33. Regarding the same elements, Mr. Z... stated during his hearing on June 30, 2014: "On the EPORA contract, SCET did not communicate its prices to me (...) SCET could know our prices through contracts for which we have common partners. However, they can only know global prices and not itemized prices (...) We did not transmit any prices to SCET, I do not even believe I communicated a range." Mr. Z... added: "You tell me that you found our BPUs lots 1 and 2 for the EPORA framework agreement at SCET. These prices are prior to the amendment of July 2012. I have no explanation. I am very surprised. This means that since 2012 SCET knows our prices. (...) As there was no competition, Ms. A... may have thought it was a partnership and may have decided to transmit our prices. (...) I maintain that I do not know that my BPUs were transmitted to SCET. I think there was a misunderstanding." (references 2380 to 2412). </w:t>
        <w:br/>
        <w:t xml:space="preserve">34. In an email dated July 2, 2014 (reference 2491), Mr. Z... hypothesizes that the BPUs of his company copied from SCET may have actually been transmitted to his competitor by EPORA. </w:t>
        <w:br/>
        <w:t xml:space="preserve">35. However, according to EPORA, SETIS responded in a non-digital manner to the framework agreement. The public establishment therefore only had a paper version of the BPUs of SETIS (reference 41). Furthermore, the BPUs of SETIS copied from SCET are not signed and do not bear the company's seal, unlike those produced by EPORA. </w:t>
        <w:br/>
        <w:t xml:space="preserve">36. Mr. Z... emphasized that BPUs had been transmitted in Excel format to EPORA for the preparation of purchase orders. However, EPORA indicated that in this case, the transmitted BPUs present the title of the subsequent contract concerned and not that of the framework agreement. It also specified that the matrices used are clearly distinct from the BPUs as they include, in particular, an additional column titled "quantity" (references 44 to 47). </w:t>
        <w:br/>
        <w:t xml:space="preserve">37. Therefore, these price schedules cannot originate from the services of EPORA. </w:t>
        <w:br/>
        <w:t xml:space="preserve">b) The dates of the exchanges </w:t>
        <w:br/>
        <w:t xml:space="preserve">38. The fact that the two BPUs of SETIS collected at the SCET premises were created on October 26, 2012, does not allow for a certain determination of the date of transmission of these documents. </w:t>
        <w:br/>
        <w:t xml:space="preserve">39. On this point, the properties of the Excel document titled "DQE simulation lot 1 and 2_SCET_SETIS.xlsx" provide additional information. </w:t>
        <w:br/>
        <w:t>40. The last modification made to this document dates from November 23, 2012. It was carried out by Ms. C..., executive assistant at SCET. At the latest by this date, SCET therefore became aware of the prices of its competitor either prior to the awarding of two subsequent contracts out of a total of twelve.</w:t>
      </w:r>
    </w:p>
    <w:p>
      <w:r>
        <w:rPr>
          <w:b/>
        </w:rPr>
        <w:t>[Pages 13–15]</w:t>
      </w:r>
    </w:p>
    <w:p>
      <w:r>
        <w:t xml:space="preserve">2. THE DISTRIBUTION OF SUBSEQUENT CONTRACTS  </w:t>
        <w:br/>
        <w:t xml:space="preserve">41. During his hearing on April 3, 2014 (references 2015 to 2018), Mr. Z... stated that he had a telephone conversation with Mrs. B... after the notification in December 2011 of the two framework agreements in these terms: "At the end of the awarding of the framework agreement, the other awardee, SCET, through Mrs. B..., called us to introduce herself, to know my company, its positioning, and to see if any sectors would be of more interest to my company for the EPORA market and for all land markets. (...) At that moment, we knew that there were only two of us left, and we could discuss to see who would work on which area to better satisfy the client."  </w:t>
        <w:br/>
        <w:t xml:space="preserve">42. Mr. Z... added: "I told Mrs. B... that I was not going to break the price and that I was not going to respond beyond my lines (anything but North-West Rhône, except Roanne) and depending on the volume of cases entrusted by EPORA."  </w:t>
        <w:br/>
        <w:t xml:space="preserve">43. He further indicated: "(...) We knew that only SCET and ourselves had been retained at the end of the meeting initiated by the project manager. That the latter intended to have both companies work given the volume of cases to be entrusted and the deadlines for submissions. That during this meeting, SETIS announced - without any ambiguity - that it intended to prioritize operations close to its bases and those for which it knew the real estate market and even the players." (reference 2494).  </w:t>
        <w:br/>
        <w:t xml:space="preserve">44. Mrs. B... specified that this conversation took place in April 2012, a few months after she took office and during the period of awarding the first subsequent contract, the deadline for submission of offers for which was set for April 16, 2012.  </w:t>
        <w:br/>
        <w:t xml:space="preserve">45. The commitment document for the first subsequent contract, awarded to SCET, was signed by Mr. D..., director of the financial/transaction department. It was only from the 2nd subsequent contract that Mrs. B... signed the commitment documents in response to the contracts launched by EPORA. In contrast, Mr. Z... stated that he received Mrs. B... at his company's premises shortly after she took office, which Mrs. B... does not confirm.  </w:t>
        <w:br/>
        <w:t xml:space="preserve">46. During his second hearing on June 30, 2014, Mr. Z... stated: "With only two of us left, we knew which territories interested each of us. When I saw Mrs. B..., I indicated to her the territories on which I would respond (those near my bases so that I could act in time)." (references 2380 to 2412).  </w:t>
        <w:br/>
        <w:t xml:space="preserve">47. Mrs. Y... and Mr. E..., respectively legal advisor and territorial director of EPORA, indeed confirm that the establishment launched a consultation with a view to awarding the framework agreements while reserving the possibility of retaining four awardees to stimulate competition for these contracts. However, SETIS and SCET only submitted compliant offers during the first consultation concerning subsequent contract no. 12-069 (lot 1 - Roanne Sector - Gambetta République Site), which was ultimately awarded to SETIS. For the other eleven subsequent contracts, EPORA was unable to arbitrate between two compliant offers.  </w:t>
        <w:br/>
        <w:t xml:space="preserve">48. For her part, Mrs. B... indicated (references 1786 to 1789): "Regarding our relations with SETIS in the context of the EPORA contract, it is true that we had contact regarding certain points of geographical sector, but this had no impact on the contracts (SETIS is a competitor), there was no sharing between us."  </w:t>
        <w:br/>
        <w:t xml:space="preserve">49. During her second hearing on July 9, 2014, Mrs. B... supplemented her remarks as follows: "I must have called Mr. Z... following the first contract that was awarded in April 2012, but I don't really remember. I contacted him for commercial purposes. We subsequently contacted each other to discuss the amendment to the framework agreement. I previously stated that we addressed together the geographical sectors of the market. Indeed, we discussed these sectors in order to exchange information on the operations, such as the number of cases per sector. I did not have this information, and neither did he. I think that even EPORA did not know. However, I deny any exchange on the distribution of the sectors" (references 1899 to 1902).  </w:t>
        <w:br/>
        <w:t xml:space="preserve">50. The analysis of the respective responses of SETIS and SCET to the various consultations launched by EPORA for the awarding of subsequent contracts reveals the following elements:  </w:t>
        <w:br/>
        <w:t xml:space="preserve">a) On sector 1 A: Roanne, crown, periphery of the Monts de la Madeleine  </w:t>
        <w:br/>
        <w:t xml:space="preserve">51. Four subsequent contracts concerned this sector. During the consultations launched for the awarding of contracts no. 12-132 (lot 2, sector 1A) and no. 12-133 (lot 1, sector 1A), SCET submitted two irregular offers by failing to submit the commitment document. According to the statements of Mrs. B..., director of the land agencies of Lyon and Dijon during her hearing on April 3, 2014 (references 1786 to 1789), the irregularity of the offers submitted resulted from an administrative error made by her assistant. SETIS submitted two offers including a price increase of 19.5% compared to the framework agreements. These two offers were wrongly declared unacceptable by EPORA, which did not take into account the amendment signed in July 2012.  </w:t>
        <w:br/>
        <w:t xml:space="preserve">52. EPORA therefore relaunched consultations for these two contracts (contracts no. 13-005 and no. 13-006). SCET refrained from responding by sending a letter of apology to EPORA. When questioned by DGCCRF agents on April 3, 2014, Mrs. B... explained that the company's workload did not allow her to respond to these consultations. However, during her second hearing on July 9, 2014, she stated that she informed her competitor that she would not respond in this sector because SETIS was already present there (references 1899 to 1902). Mr. Z..., co-manager of SETIS, also indicated during his hearing on June 30, 2014: "When I saw Mrs. B..., I indicated to her the territories on which I would respond (those near my bases) so that I could act in time (...). SCET had to agree to leave us Roanne." (references 2380 to 2412).  </w:t>
        <w:br/>
        <w:t xml:space="preserve">53. SETIS was declared the awardee by applying a 19.5% increase on its price offers. By comparison, on the first contract related to the Roanne sector (no. 12-069), for which the deadline for submission of offers was prior to the first contact between Mrs. B... and Mr. Z..., SETIS only applied a 5.5% increase. When questioned about the differences in price increases between contract no. 12-069 and contracts no. 13-005 and no. 13-006, Mr. Z... stated: "We did not apply the 20% on the first subsequent contract (Roanne). I only applied a 5.5% increase. I think it was because I knew the file well" (references 2380 to 2412).  </w:t>
        <w:br/>
        <w:t xml:space="preserve">b) On sector 2: North-West Rhône  </w:t>
        <w:br/>
        <w:t xml:space="preserve">54. During the consultation launched for the awarding of contract no. 12-123 (lot 1, sector 2), SETIS did not submit an offer. SCET was declared the awardee based on a price offer increased by 20% compared to the framework agreement, which is the maximum allowed by the special administrative clauses.  </w:t>
        <w:br/>
        <w:t xml:space="preserve">55. SETIS also did not submit offers in the context of the procedure launched for the awarding of contract no. 12-125 (lot 2, sector 2).  </w:t>
        <w:br/>
        <w:t xml:space="preserve">56. When questioned, Mr. Z... stated: "I indicated to Mrs. B... that I would not respond for the territories of the North-West Rhône that I know poorly" (references 2380 to 2412). Regarding this sector, Mrs. B... specified: "I do not remember if Mr. Z... indicated to me that he would not respond in the North-West Rhône. All the contracts arrived at the same time" (references 1899 to 1902).  </w:t>
        <w:br/>
        <w:t xml:space="preserve">c) On sector 3A: Saint-Étienne, Ondaine Valley, Gier Valley, Forez Plain  </w:t>
        <w:br/>
        <w:t xml:space="preserve">57. The offer submitted by SETIS during the procedure launched for the awarding of contract no. 12-130 (lot 1, sector 3A) was rejected as unacceptable by EPORA due to a price increase of +22% and 41% on two items compared to the prices defined in the framework agreement. The same was true for contract no. 12-131 (lot 2, sector 3A) due to increases ranging from 23% to 77% compared to the initial prices. Regarding this contract, Mrs. B... (SCET) stated: "He knew that I wanted the Saint-Étienne sector given that I was previously employed at EPORA and that I am from Saint-Étienne, but I did not tell him openly." (references 1988 to 1902).  </w:t>
        <w:br/>
        <w:t xml:space="preserve">d) On sector 4: North Drôme, North Ardèche, North Isère, South Rhône  </w:t>
        <w:br/>
        <w:t xml:space="preserve">58. During the consultation launched for the awarding of contract no. 12-118 (lot 2, sector 4), SCET did not submit an offer. SETIS submitted an offer that was, however, rejected as unacceptable due to an increase in the price of item no. 2004 (land negotiator) of more than 25%. During this consultation, SETIS increased almost all of its rates by 20%, except for item no. 401 (acquisition research from the land registry) which was only increased by 18.52%.  </w:t>
        <w:br/>
        <w:t xml:space="preserve">59. In this context, EPORA was forced to declare the call for tenders unsuccessful and to relaunch the awarding procedure, under no. 12-144. SETIS increased all its prices by 20%, except for item no. 401 for which it did not change the amount. SCET, for its part, submitted an offer presenting a 37.14% increase on item no. 601.1, thus rendering it unacceptable.  </w:t>
        <w:br/>
        <w:t xml:space="preserve">60. Regarding this sector, Mr. Z... stated: "Lot 1 of the North Drôme sector (sector 4) did not interest me because SCET was already operating in this territory. I was not going to compete with them. I was, however, interested in lot 2 sector 4." (references 2380 to 2412).  </w:t>
        <w:br/>
        <w:t xml:space="preserve">61. Concerning lot 2, Mrs. B... (SCET) indicated during her first hearing on April 3, 2014: "Regarding contract no. 12-118 lot 2 North Drôme, North Ardèche, North Isère, South Rhône, it corresponds to a rural area. I was not very interested. In contrast, we are rather interested in urban areas, particularly because within our EPL network, we are led to work with the latter." (references 1786 to 1789).  </w:t>
        <w:br/>
        <w:t xml:space="preserve">62. When questioned about the unacceptable offer submitted by her competitor, Mr. Z... stated: "On contract 12-144, SCET responded with +37% on an item following a relaunch. I find that surprising. We knew the rule eliminating any candidate exceeding 20%. They may have done it knowing that we were very interested in this sector."  </w:t>
        <w:br/>
        <w:t>63. According to Mrs. B..., the unacceptable nature of SCET's offer results from the erroneous inversion of items between lot 1 and lot 2.</w:t>
      </w:r>
    </w:p>
    <w:p>
      <w:r>
        <w:rPr>
          <w:b/>
        </w:rPr>
        <w:t>[Pages 16–18]</w:t>
      </w:r>
    </w:p>
    <w:p>
      <w:r>
        <w:t>3. THE DIFFICULTIES IN MANAGING EPORA CONTRACTS</w:t>
        <w:br/>
        <w:t>64. During their hearings, Mrs. B... (SCET) and Mr. Z... (SETIS) reported the difficulties they encountered during the calls for tenders launched by EPORA. They notably indicated that the volume of purchase orders was uncertain, that the price lists to be filled out were too detailed, and that the consultations for the awarding of subsequent contracts had been launched on very close dates.</w:t>
      </w:r>
    </w:p>
    <w:p>
      <w:r>
        <w:t>65. Mrs. B... stated on April 3, 2014 (references 1786 to 1789): "I would like to clarify that we are not used to filling out such detailed unit price lists. I had never seen this before. This is not the usual practice for contracts, which made the drafting of the contract documents complex. The amendment to the framework agreement (item given by owner instead of being given by file) illustrates a certain lack of knowledge of EPORA regarding this sector of activities. (...) In the end, I would say that there is nothing more complicated than the contract as it was awarded by EPORA. It should be noted that at the end of 2013, EPORA did not wish to renew its contract (even though three renewals were possible)."</w:t>
      </w:r>
    </w:p>
    <w:p>
      <w:r>
        <w:t>66. She specified during her second hearing on July 9, 2014 (references 1899 to 1902): "I did not suspect that EPORA would question the number of missions of the purchase orders. I knew they had the internal skills to carry out the negotiations, but I did not think it would lead to a non-compliance with the purchase orders."</w:t>
      </w:r>
    </w:p>
    <w:p>
      <w:r>
        <w:t>67. Regarding the amendments to the framework agreements, Mr. Z... stated (references 2015 to 2018): "This amendment established a flat rate instead of a price per owner. There are at least three owners per operation. The amendment led to a reduction of about three times the total amount of the item without compensation on the other items. It was Mr. X... from EPORA who led this negotiation. There were recurring dysfunctions. During the subsequent contracts, I decided to use the 20% margin because we did not want to take risks in light of the amendment."</w:t>
      </w:r>
    </w:p>
    <w:p>
      <w:r>
        <w:t>68. He added, regarding the periodicity of the subsequent contracts: "I think we used the maximum increase clause of 20% wisely because it seems to me that the unfolding of the subsequent contracts is not optimal in terms of smoothing out the activity for us. For a year we have no work, and then we have several files over a short period, so we have to strengthen the teams to meet the demand."</w:t>
      </w:r>
    </w:p>
    <w:p>
      <w:r>
        <w:t>69. Regarding the conduct of this consultation, Mr. Z... specified: "In the end, we frankly feel that we were 'trapped' both by a heavy contractual context that experienced various delays and by the chaotic administrative management of these contracts, which made us lose a lot of time before all our operational interventions, which explains why we are currently working without a real margin on the various files entrusted."</w:t>
      </w:r>
    </w:p>
    <w:p>
      <w:r>
        <w:t>70. The representatives of EPORA interviewed confirmed the complexity of these contracts and the resulting difficulty for the co-awardees in anticipating their workload (references 35 to 37): "Another reason for the variety of prices may be that when we awarded our subsequent contracts, the operations were not known to the awardees. (...) We know that the engineering resources of SCET and SETIS to respond to our missions are limited. Moreover, they could not presuppose the workload that the purchase order contract would generate. This uncertainty could warrant financial precautions. Their offers, quite high, may have been intended to be deterrent and to limit financial risks from a statistical point of view."</w:t>
      </w:r>
    </w:p>
    <w:p>
      <w:r>
        <w:t>71. Mrs. Y... and Mr. E... (EPORA) also stated in this regard: "The framework agreement has not been renewed since December 2013, notably because the prices proposed for the subsequent contracts were high and the competition was insufficient."</w:t>
      </w:r>
    </w:p>
    <w:p>
      <w:r>
        <w:t>D. THE NOTIFIED GRIEVANCE</w:t>
        <w:br/>
        <w:t>72. By letter dated July 11, 2016, the general rapporteur of the Authority notified the following grievance to SCET, SETIS, the Caisse des dépôts et consignations Group, and the Degaud Group:</w:t>
      </w:r>
    </w:p>
    <w:p>
      <w:r>
        <w:t>73. "The legal entities SA SCET and EURL SETIS, as authors of the practices, as well as the legal entities Groupe Caisse des Dépôts et consignations and Groupe Degaud SARL, as parent companies, are accused of having exchanged information about their offers prior to the submission date, namely between April 2012, the date of the awarding of the second subsequent contract, and January 2013, the date of the awarding of the last subsequent contract by the contracting authority, regarding the awarding of the EPORA land assistance contract, resulting in misleading the contracting authority about the reality and extent of competition in the market, a practice contrary to the provisions of Article L. 420-1, notably 2° and 4° of the Commercial Code, prohibiting anti-competitive agreements."</w:t>
      </w:r>
    </w:p>
    <w:p>
      <w:r>
        <w:t>III. Discussion</w:t>
        <w:br/>
        <w:t>74. The companies EURL SETIS, as author, and Groupe Degaud, as parent company, did not contest the reality of the grievance that was notified to them and requested the application of the provisions of III of Article L. 464-2 of the Commercial Code from the general rapporteur of the Authority, who submitted a settlement proposal that they accepted.</w:t>
      </w:r>
    </w:p>
    <w:p>
      <w:r>
        <w:t>75. In contrast, SCET contested the grievance that was notified to it. Therefore, its participation in the alleged anti-competitive practices must be discussed (see, in this sense, the ruling of the Paris Court of Appeal of January 26, 2010, Adecco France e.a., confirmed on appeal by the ruling of the Court of Cassation of March 29, 2011, Manpower France e.a., T 10-12.913).</w:t>
      </w:r>
    </w:p>
    <w:p>
      <w:r>
        <w:t>A. ON THE REGULARITY OF THE PROCEDURE</w:t>
        <w:br/>
        <w:t>1. ON THE REGULARITY OF THE INVESTIGATIONS CONDUCTED AT THE SCET AGENCY IN DIJON ON APRIL 3, 2014</w:t>
        <w:br/>
        <w:t>76. The SCET company argues that the agents of the DGCCRF who intervened on April 3, 2014, on the basis of Article L. 450-3 of the Commercial Code, in the premises of the land division of SCET located in Dijon, conducted "generalized searches" on the computer workstation of the agency, without having previously made a precise request for documents.</w:t>
      </w:r>
    </w:p>
    <w:p>
      <w:r>
        <w:t>a) In law</w:t>
        <w:br/>
        <w:t>77. Article L. 450-3 of the Commercial Code, in its version resulting from Law No. 2014-344 of March 17, 2014, applicable in this case, states that: "The agents mentioned in Article L. 450-1 may operate on public roads, enter between 8 a.m. and 8 p.m. into all places used for professional purposes and in the places of execution of a service, as well as access all means of transport for professional use.</w:t>
      </w:r>
    </w:p>
    <w:p>
      <w:r>
        <w:t>78. They may also enter outside these hours into these same places when they are open to the public or when activities of production, manufacturing, transformation, packaging, transport, or marketing are taking place inside.</w:t>
      </w:r>
    </w:p>
    <w:p>
      <w:r>
        <w:t>79. When these places are also used for residential purposes, inspections may only be carried out between 8 a.m. and 8 p.m. and with the authorization of the judge of freedoms and detention of the court of first instance within the jurisdiction of which these places are located, if the occupant opposes it.</w:t>
      </w:r>
    </w:p>
    <w:p>
      <w:r>
        <w:t>80. The agents may require the communication of books, invoices, and other professional documents and obtain or take copies of these documents by any means and on any medium. They may also collect, on-site or upon summons, any information, document, or justification necessary for the inspection.</w:t>
      </w:r>
    </w:p>
    <w:p>
      <w:r>
        <w:t>81. For the inspection of operations involving IT, they have access to software and stored data as well as to the clear restitution of information necessary to facilitate the accomplishment of their missions. They may request the transcription of these documents by any appropriate processing of documents directly usable for the needs of the inspection."</w:t>
      </w:r>
    </w:p>
    <w:p>
      <w:r>
        <w:t>82. Thus, within the framework of the procedure organized by Article L. 450-3 of the Commercial Code, the authorized agents have two types of powers, commonly attributed to administrations charged with a power of control and supervision: a right of access and a right to request the communication of documents.</w:t>
      </w:r>
    </w:p>
    <w:p>
      <w:r>
        <w:t>83. Under their right of access, authorized agents may access, unexpectedly or not and simultaneously or not, all premises, land, and means of transport for professional use throughout the national territory.</w:t>
      </w:r>
    </w:p>
    <w:p>
      <w:r>
        <w:t>84. Under their right to request the communication of documents, agents may, in a non-coercive manner, request the communication of professional documents as well as information and documents necessary for the inspection. The implementation of the right to communication thus assumes that the documents and information are voluntarily communicated by the companies or organizations concerned, without the authorized agents being able to seize the documents in case of refusal, nor to conduct searches, seizures, or inspections.</w:t>
      </w:r>
    </w:p>
    <w:p>
      <w:r>
        <w:t>85. The circumstance that the refusal to communicate the requested information or documents may lead to an injunction under penalty imposed by the Competition Authority, an administrative fine imposed by this authority, or a criminal sanction does not confer a different scope to the powers granted to the authorized agents by the contested provisions (decision of the Constitutional Council No. 2016-552 QPC of July 8, 2016, § 7).</w:t>
      </w:r>
    </w:p>
    <w:p>
      <w:r>
        <w:t>86. Investigators may request the communication and copy of books, invoices, or any other professional document. They are authorized to inspect unofficial documents or mixed documents such as internal notes, meeting minutes, agendas.</w:t>
      </w:r>
    </w:p>
    <w:p>
      <w:r>
        <w:rPr>
          <w:b/>
        </w:rPr>
        <w:t>[Pages 19–21]</w:t>
      </w:r>
    </w:p>
    <w:p>
      <w:r>
        <w:t>professionals, even if they contain personal annotations (decision no. 97-D-39 of June 17, 1997, regarding practices implemented by various companies in the ready-mixed concrete sector in the Provence-Alpes-Côte d’Azur region), emails, contracts, or commercial circulars.</w:t>
      </w:r>
    </w:p>
    <w:p>
      <w:r>
        <w:t>87. The request for communication must be formulated precisely and concern documents of which the investigators are aware and that they are able to identify. The agents may also take documents as long as they have been provided to them freely and without any coercion (ruling of the Court of Cassation, commercial chamber, May 9, 2001, no. 98-22.150, § 5).</w:t>
      </w:r>
    </w:p>
    <w:p>
      <w:r>
        <w:t>b) In this case</w:t>
      </w:r>
    </w:p>
    <w:p>
      <w:r>
        <w:t>88. It follows from the mentions in the minutes of the declaration and copying of documents dated April 3, 2014, and signed by Mr. F…, land consultant within the SCET company, and by Mrs. C..., executive assistant, that during their visit, the competition agents proceeded "to format a USB key with a capacity of 8 GB" which they handed to Mr. F… "to allow the communication of computer files." The agents also "requested communication of the documents listed below from Mr. F… to take copies:</w:t>
        <w:br/>
        <w:t>- Document 1: table of the ING index from November 1, 2011, to January 31, 2014: 1 page.</w:t>
        <w:br/>
        <w:t>- Document 2: table of the Syntec index 2010 to 2014 – Lefebvre edition: 1 page.</w:t>
        <w:br/>
        <w:t>- Document 3: 2014 projected billing schedule of the SCET company (land department of the Dijon agency): 7 pages.</w:t>
        <w:br/>
        <w:t>- Document 4: 2014 projected billing schedule of the SCET company (land department of the Lyon agency): 2 pages.</w:t>
        <w:br/>
        <w:t>- Document 5: Opening sheet of a SCET contract (no. 12P70201) lot 1 sector 4 entered on 11/21/2012: 1 page.</w:t>
        <w:br/>
        <w:t>- Document 6: Opening sheet of a SCET contract (no. 12P70201) lot 1 sector 4 entered on March 5, 2013: 1 page.</w:t>
        <w:br/>
        <w:t>- Document 7: Dashboard of case no. 12P70201 issued on July 8, 2013, with handwritten notes: 1 page.</w:t>
        <w:br/>
        <w:t>- Document 8: Opening sheet of a SCET contract (no. 13P09901) lot 1 sector 3A.</w:t>
        <w:br/>
        <w:t>- Annex 1: inventory of files copied onto CD-R: 6 pages" (references 82 to 106).</w:t>
      </w:r>
    </w:p>
    <w:p>
      <w:r>
        <w:t>89. It results from the very content of this minutes, which transcribes the statements of Mr. F…, that the documents listed above, for which the competition agents requested communication, were mentioned by Mr. F… during the interview and were handed over without any coercion. Furthermore, the digital inventory of the files copied annexed to the minutes only lists files related to the EPORA contract. Consequently, neither the mentions of this minutes nor any other document in the investigation file confirms the allegations of SCET that the competition agents conducted a search of the computers and made an indefinite request for documents.</w:t>
      </w:r>
    </w:p>
    <w:p>
      <w:r>
        <w:t>2. ON THE ALLEGED NON-COMPLIANCE OF THE PROVISIONS OF THE FIFTH PARAGRAPH OF ARTICLE L. 450-3 OF THE COMMERCIAL CODE WITH THE CONSTITUTION AND THE EUROPEAN CONVENTION ON HUMAN RIGHTS AND FUNDAMENTAL FREEDOMS</w:t>
      </w:r>
    </w:p>
    <w:p>
      <w:r>
        <w:t>90. SCET argues that in any case, the provisions of the fifth paragraph of Article L. 450-3 of the Commercial Code are contrary to the Constitution and the European Convention on Human Rights and Fundamental Freedoms.</w:t>
      </w:r>
    </w:p>
    <w:p>
      <w:r>
        <w:t>91. As a preliminary point, it should be noted that the provisions of the fourth paragraph of Article L. 450-3 of the Commercial Code, declared compliant with the Constitution (decision of the Constitutional Council no. 2016-552 QPC of July 8, 2016, Société Brenntag), allow investigators to obtain or take copies "by all means and on all supports" of the documents they can obtain communication of, including documents recorded in the company's computer system.</w:t>
      </w:r>
    </w:p>
    <w:p>
      <w:r>
        <w:t>92. The fifth paragraph of Article L. 450-3 merely specifies the modalities of this right to communication, already provided for in the fourth paragraph, for the control of operations involving computing. Under the fifth paragraph, investigators can obtain the clear restitution of information and request the transcription of directly usable documents. These particular modalities of access to computer documents are commonly attributed to administrations (see in particular the provisions of Articles L. 1421-3 of the Public Health Code, L. 215-3 of the Consumer Code, R. 141-3 and R. 241-4 of the Financial Jurisdictions Code).</w:t>
      </w:r>
    </w:p>
    <w:p>
      <w:r>
        <w:t>93. The Authority also notes that in this case, the investigators did not request the clear restitution of information or the transcription of documents by an appropriate processing in the sense of the fifth paragraph of Article L. 450-3. They indeed limited themselves to taking copies of the documents onto a USB key.</w:t>
      </w:r>
    </w:p>
    <w:p>
      <w:r>
        <w:t>a) Regarding the right to effective judicial remedy and the right to a fair trial</w:t>
      </w:r>
    </w:p>
    <w:p>
      <w:r>
        <w:t>94. In support of its observations, SCET argues that the provisions of the fifth paragraph of Article L. 450-3 of the Commercial Code disregard the right to effective judicial remedy and the right to a fair trial, as they do not provide for the possibility of filing a direct and immediate appeal against the investigative acts they establish.</w:t>
      </w:r>
    </w:p>
    <w:p>
      <w:r>
        <w:t>95. The Constitutional Council derives from Article 16 of the Declaration of the Rights of Man and of the Citizen the principle of the right to effective judicial remedy (see in particular decision no. 2011-138 QPC of June 17, 2011, Association Vivraviry). It follows from the constitutional protection granted to this principle that the legislator cannot substantially infringe upon the right of interested parties to exercise an effective remedy before a court (see in particular decision no. 2012-231/234 QPC of April 13, 2012, Stéphane C and others). Furthermore, in judicial matters, respect for the rights of the defense, protected by Article 16 of the Declaration of 1789, implies, in particular, the existence of a fair and equitable procedure guaranteeing the balance of the rights of the parties (decision of the Constitutional Council no. 2014-190 QPC of October 21, 2011, Bruno L.).</w:t>
      </w:r>
    </w:p>
    <w:p>
      <w:r>
        <w:t>96. Article 6 of the European Convention on Human Rights and Fundamental Freedoms states: "1. Everyone is entitled to a fair hearing, publicly and within a reasonable time, by an independent and impartial tribunal established by law, which shall decide on the disputes over their civil rights and obligations or on the merits of any criminal charge against them. (...)". This article, in its criminal aspect, is applicable to sanction decisions taken by the Competition Authority (ECHR, case Lilly France S.A. v. France of December 3, 2002, no. 53892/00). Furthermore, in an administrative procedure [such as that provided for by Article L. 450-3 of the Commercial Code], respect for Article 6 of the Convention is assessed in light of the existence of a full jurisdiction appeal against the sanction decision that will be taken by the Authority before "a tribunal offering the guarantees of Article 6." (ECHR, Kadubec v. Slovakia no. 27061/95 of September 2, 1998, § 57; ECHR, Candy v. Slovakia no. 53371/92 §31 of November 16, 2004).</w:t>
      </w:r>
    </w:p>
    <w:p>
      <w:r>
        <w:t>97. The Constitutional Council has declared the provisions of the fourth paragraph of Article L. 450-3 of the Commercial Code, which set the modalities for the right of authorized agents to require the communication of information and documents in competition investigations, to be compliant with the Constitution (decision of the Constitutional Council no. 2016-552 QPC of July 8, 2016, cited above). On this occasion, the Constitutional Council ruled that "the requests for communication of information and documents made on the basis of the contested provisions are not in themselves acts that can cause harm. On the other hand, if a procedure is initiated against a company following an administrative investigation for anti-competitive practices or if a penalty or sanction is imposed against a company, the legality of the requests for information can be contested by way of exception. Furthermore, in the event of illegality of these measures, even in the absence of a decision causing harm, the damage can be compensated through an indemnity claim. It follows that the contested provisions do not infringe upon the right of interested parties to have the regularity of the investigative measures reviewed by the competent courts."</w:t>
      </w:r>
    </w:p>
    <w:p>
      <w:r>
        <w:t>98. Furthermore, the provisions of the fifth paragraph of this article merely specify the right to communication recognized to agents during the control of operations involving computing. Whether the request for communication concerns a paper document or a computer document, it is not capable, in itself, of causing harm. In the particular case where, as in this instance, a procedure is initiated against a company following an investigation for anti-competitive practices, the legality of the requests for information can be contested by way of exception within the framework of a request before the Paris Court of Appeal, which offers all the guarantees of an effective judicial remedy in the sense of the Constitution and the European Convention on Human Rights.</w:t>
      </w:r>
    </w:p>
    <w:p>
      <w:r>
        <w:t>99. The alleged non-compliance of the provisions of the fifth paragraph of Article L. 450-3 of the Commercial Code with Article 16 of the Declaration of the Rights of Man and of the Citizen and with Article 6 of the European Convention on Human Rights is therefore unfounded.</w:t>
      </w:r>
    </w:p>
    <w:p>
      <w:r>
        <w:t>b) Regarding the principle of legal certainty</w:t>
      </w:r>
    </w:p>
    <w:p>
      <w:r>
        <w:t>100. SCET argues that the provisions of the fifth paragraph of Article L. 450-3 of the Commercial Code disregard the principle of legal certainty in that they do not indicate with a sufficient degree of precision the scope within which investigators can act, and in particular, do not specify that authorized agents can only be presented with previously defined computer documents.</w:t>
      </w:r>
    </w:p>
    <w:p>
      <w:r>
        <w:t>101. The jurisprudence of the Constitutional Council, while not explicitly enshrining the principle of legal certainty, consistently holds that "it is at all times possible for the legislator,</w:t>
      </w:r>
    </w:p>
    <w:p>
      <w:r>
        <w:rPr>
          <w:b/>
        </w:rPr>
        <w:t>[Pages 22–24]</w:t>
      </w:r>
    </w:p>
    <w:p>
      <w:r>
        <w:t>ruling within its area of competence, to amend previous texts or repeal them by substituting, if necessary, other provisions; that in doing so, it must not deprive constitutional requirements of legal guarantees; that in particular, it must not, without sufficient general interest justification, infringe upon legally acquired situations or call into question the effects that can legitimately be expected from such situations" (see decision no. 2013-682 DC of December 19, 2013, Social Security Financing Act for 2014; decision no. 2016-538 QPC of April 22, 2016, Mr. D. and Mrs. D.).</w:t>
      </w:r>
    </w:p>
    <w:p>
      <w:r>
        <w:t>102. More generally, the Constitutional Council derives from the "guarantee of rights" required by Article 16 of the Declaration of 1789 a constitutional value objective of intelligibility and accessibility of the law (decision no. 99-421 DC of November 16, 1999, Law empowering the government to proceed by ordinance for the adoption of certain codes). Based on Article 34 of the Constitution, a principle of clarity of the law has been established (decision of the Constitutional Council no. 2001-455 DC of January 12, 2002).</w:t>
      </w:r>
    </w:p>
    <w:p>
      <w:r>
        <w:t>103. The principle of legal certainty as established by the European Court of Human Rights implies, in particular, the clarity, precision, and predictability of the law (judgment Stell and others v. United Kingdom of September 23, 1998, Reports 1998-VII, p. 1735, § 54; judgment Baranowski v. Poland of March 28, 2000, application no. 28358/95, § 52).</w:t>
      </w:r>
    </w:p>
    <w:p>
      <w:r>
        <w:t>104. In this case, the provisions of the fifth paragraph of Article L. 450-3 of the Commercial Code, which provide that authorized agents, for the control of operations involving computing, may have access to software and other stored data as well as to the unencrypted restitution of information intended to facilitate the performance of their missions, are clear, precise, and intelligible. The alleged non-compliance of these provisions with the principle of legal certainty is therefore unfounded.</w:t>
      </w:r>
    </w:p>
    <w:p>
      <w:r>
        <w:t>c) Regarding the right to respect for private life, the principle of the inviolability of the home, and the principle of the secrecy of correspondence</w:t>
      </w:r>
    </w:p>
    <w:p>
      <w:r>
        <w:t>105. SCET argues that the provisions of Article L. 450-3 of the Commercial Code, by failing to provide an immediate remedy against the investigative acts they establish, violate the right to respect for private life, the principle of the inviolability of the home, and the principle of the secrecy of correspondence.</w:t>
      </w:r>
    </w:p>
    <w:p>
      <w:r>
        <w:t>106. The Constitutional Council derives from the provisions of Article 2 of the Declaration of 1789 the right to respect for private life, the principle of the inviolability of the home (decision no. 2015-464 QPC of April 9, 2015, Marc A.) and the principle of the secrecy of correspondence (decision no. 2015-713 DC of July 23, 2015, law relating to intelligence, consideration no. 2). In this context, it is the responsibility of the legislator to ensure the reconciliation between, on the one hand, the prevention of infringements of public order and the search for offenders and, on the other hand, the respect for rights and freedoms constitutionally protected (decision of the Constitutional Council no. 2004-492 DC of March 2, 2004, law adapting justice to the evolution of crime, consideration no. 10).</w:t>
      </w:r>
    </w:p>
    <w:p>
      <w:r>
        <w:t>107. According to the European Court of Human Rights, in certain circumstances, the rights guaranteed under Article 8 of the Convention may be interpreted as including for a company the right to respect for its registered office, its agency, or its professional premises, with respect to which the right of interference by states may, however, extend further (see ECHR Niemietz v. Germany, December 16, 1992, § 30-31, Series A, no. 251-B; Société Colas Est and others v. France, no. 37971/97, § 40-41).</w:t>
      </w:r>
    </w:p>
    <w:p>
      <w:r>
        <w:t>108. However, the right of communication of authorized agents, provided for by Article L. 450-3 of the Commercial Code, is exercised without any constraint and does not allow for the seizure of a document in the event of opposition from its holder. Moreover, this right of communication concerns "books, invoices, and other professional documents," possibly stored on electronic media, intended to facilitate the performance of their missions by the agents. These provisions "do not allow for the demand for the communication of documents protected by the right to respect for private life or by professional secrecy. Consequently, they are not contrary to the principle of the secrecy of correspondence, nor, more generally, to the right to respect for private life" (decision of the Constitutional Council no. 2016-552 QPC cited above; see similarly, regarding Articles L. 621-10 of the Monetary and Financial Code, 143-1 and 143-6 of the General Regulation of the Financial Markets Authority: CE, September 14, 2016, Mr. Garnier and another, no. 397990 and December 11, 2015, Sté Bernheim Dreyfus, no. 389096, mentioned in the Tables; regarding Article L. 215-3 of the Consumer Code: Cass. Crim., June 26, 2012, no. 12-90031).</w:t>
      </w:r>
    </w:p>
    <w:p>
      <w:r>
        <w:t>109. It follows from the above that SCET is not justified in claiming that the fifth paragraph of Article L. 450-3 of the Commercial Code is contrary to the Constitution and to the European Convention on Human Rights.</w:t>
      </w:r>
    </w:p>
    <w:p>
      <w:r>
        <w:t>B. ON THE MERITS OF THE NOTIFIED GRIEVANCE</w:t>
      </w:r>
    </w:p>
    <w:p>
      <w:r>
        <w:t>1. REMINDER OF APPLICABLE PRINCIPLES</w:t>
      </w:r>
    </w:p>
    <w:p>
      <w:r>
        <w:t>110. Article L. 420-1 of the Commercial Code prohibits concerted actions, agreements, express or tacit arrangements between companies when they have the object or may have the effect of preventing, restricting, or distorting competition in a market.</w:t>
      </w:r>
    </w:p>
    <w:p>
      <w:r>
        <w:t>111. In the context of public or private contracts based on calls for tenders, a concertation between competing companies, contrary to Article L. 420-1 of the Commercial Code, is established as soon as proof is provided, either that they agreed to coordinate their offers, or that they exchanged information prior to the date when the result of the call for tenders is known or can be known, in order to evade the principle of the independence of offers and distort the play of free competition (judgments of the Paris Court of Appeal of November 18, 2003, SAS Signaux Laporte e.a., BOCCRF no. 2004-02 and of December 18, 2001, SA Bajus Transports e.a., BOCCRF no. 2002-03).</w:t>
      </w:r>
    </w:p>
    <w:p>
      <w:r>
        <w:t>112. Exchanges of information regarding the existence of competitors, their names, their importance, their availability in personnel or equipment, their interest or lack of interest in the market in question, or the prices they intend to propose, thus alter the free play of competition by limiting the independence of offers (see the decisions of the Council no. 06-D-08 of March 24, 2006, regarding practices implemented in the context of public construction contracts for three colleges in the Hérault department, no. 08-D-33 of December 16, 2008, regarding practices implemented during calls for tenders from the city of Annecy and the general council of Haute-Savoie for coach transport, and no. 09-D-03 of January 21, 2009, regarding practices implemented in the field of school and intercity transport, by coach in the Pyrénées-Orientales department, confirmed by the judgments of the Paris Court of Appeal of October 23, 2007, SNC Eiffage Construction Languedoc, 2006/07494, of November 3, 2009, Compagnie française de transport interurbain, 2009/01024 and of January 5, 2010, Ponsarty SARL e.a., 2009/02679).</w:t>
      </w:r>
    </w:p>
    <w:p>
      <w:r>
        <w:t>113. The proof of the prior nature of the concertation in relation to the submission of the offer can be deduced, in the absence of a certain date affixed to a document, from the analysis of its content and the comparison of this with extrinsic elements, notably with the results of the calls for tenders (judgment of the Paris Court of Appeal of April 2, 1996, société Pro Gec SA, BOCCRF of May 15, 1996).</w:t>
      </w:r>
    </w:p>
    <w:p>
      <w:r>
        <w:t>114. It can, more generally, result from a set of indices constituted by the comparison of various elements, even if each of them does not, taken in isolation, have a sufficiently probative character (judgment of the Paris Court of Appeal of September 16, 2010, société Raffalli &amp; Cie, SARL, 2009/24 813, p. 7). As the Court of Cassation recalled in a judgment of December 8, 1992, Établissements Phibor (no. 1894), "it is less the intrinsic value of each index taken in isolation that is decisive than the persuasive force that arises, at the end of the adversarial debate, from the gathering of all the indices."</w:t>
      </w:r>
    </w:p>
    <w:p>
      <w:r>
        <w:t>115. Furthermore, a document regularly seized, regardless of the location where it was seized, is enforceable against the company that drafted it, against the one that received it, and against those mentioned therein and can be used as evidence by comparison with other concordant indices, of a concertation or an exchange of information between companies (judgment Bajus transports, cited above).</w:t>
      </w:r>
    </w:p>
    <w:p>
      <w:r>
        <w:t>2. ASSESSMENT IN THIS CASE</w:t>
      </w:r>
    </w:p>
    <w:p>
      <w:r>
        <w:t>116. Several elements collected during the investigation demonstrate that the parties participated in an anti-competitive agreement aimed at dividing the subsequent contracts related to the two framework agreements for land assistance missions concluded with EPORA in 2011.</w:t>
      </w:r>
    </w:p>
    <w:p>
      <w:r>
        <w:t>117. The comparison of the digital fingerprints of the unit price schedules of SETIS taken in copy from each company established that these schedules indeed originate from the company SETIS. Ms. B... also, during her hearing on July 9, 2012, acknowledged having exchanged her prices for those of her competitor (paragraph 33). While Mr. Z... does not confirm this exchange (references 2380 to 2412), the hypotheses he puts forward - namely that the BPU of his company could have been mistakenly transmitted to SCET by one of his collaborators or that EPORA could have inadvertently communicated SETIS's prices to its competitor - cannot be accepted. On the one hand, the first hypothesis is not credible in light of all the indices demonstrating the existence of an agreement. On the other hand, the second hypothesis is contradicted by the explanations gathered from EPORA. As emerges from the findings (paragraph 36), the BPU of SETIS produced by EPORA during the investigation bear the company's stamp and the signature of its representative. However, this is not the case for the copies of these schedules collected from SCET. EPORA also explained that SETIS had responded in a non-digital manner to the framework agreement by producing BPU on paper. Finally, if, as Mr. Z... indicated, some BPU may have been transmitted to EPORA in Excel format, these BPU present the title of the subsequent contract concerned and not that of the framework agreement and also contain an additional column titled "quantity." The BPU of SETIS taken in copy on electronic media from SCET cannot therefore originate from the services of EPORA.</w:t>
      </w:r>
    </w:p>
    <w:p>
      <w:r>
        <w:rPr>
          <w:b/>
        </w:rPr>
        <w:t>[Pages 25–27]</w:t>
      </w:r>
    </w:p>
    <w:p>
      <w:r>
        <w:t>118. Furthermore, it is established that the companies SETIS and SCET coordinated, starting from April 2012, to exchange precise information regarding their respective interest in the awarding of eleven subsequent contracts to the framework agreements.</w:t>
      </w:r>
    </w:p>
    <w:p>
      <w:r>
        <w:t>119. Indeed, it emerges from the statements of Mrs. B... and Mr. Z... that a telephone exchange occurred between the two competitors in April 2012, during the consultation period launched for the awarding of the first subsequent contract (paragraphs 43 to 45). Mr. Z... stated that Mrs. B... contacted him to introduce herself, to learn about the company SETIS, its positioning, and to find out if there were sectors that would interest SETIS more for the EPORA contract (references 2015 to 2018). In response, Mr. Z... indicated to her that he "was not going to break the price" nor "respond beyond his lines (anything but North-West Rhône except Roanne)."</w:t>
      </w:r>
    </w:p>
    <w:p>
      <w:r>
        <w:t>120. Mr. Z... further stated that he received Mrs. B... at the premises of the company SETIS shortly after he took office in January 2012 (references 2380 to 2412). During this meeting, he informed her of the territories on which SETIS would submit a bid. Mrs. B... did not confirm this meeting. However, during her first hearing, she stated: "It is true that we had contact regarding certain points of geographical sectors, but this had no impact on the contracts. (...) " (paragraph 48). Later, Mrs. B... acknowledged having had at least two contacts with Mr. Z..., during which they "discussed together the geographical sectors of the market" (paragraph 51).</w:t>
      </w:r>
    </w:p>
    <w:p>
      <w:r>
        <w:t>121. The analysis of the offers submitted respectively by SETIS and SCET as part of the consultations launched by EPORA demonstrates that the exchange of information between the two companies aimed to allocate the contracts. Each company obtained four subsequent contracts in its preferred areas. And each company won the relevant consultation by using the maximum price increase provided for in the framework agreements.</w:t>
      </w:r>
    </w:p>
    <w:p>
      <w:r>
        <w:t>122. To achieve this result, one of the two companies either failed to submit an offer or submitted an irregular offer. These irregular offers constituted cover offers that allowed the pre-designated company to obtain the contracts it desired based on the sectors in which it intended to position itself and at the maximum increase allowed by Article 9.3 of the special administrative clauses.</w:t>
      </w:r>
    </w:p>
    <w:p>
      <w:r>
        <w:t>123. Regarding sector 1A (Roanne, crown, periphery of the Monts de la Madeleine), Mrs. B... indicated that she informed her competitor that she would not bid since SETIS was already operating there. Mr. Z... was therefore certain of winning this consultation since his only competitor had indicated this to him. Thus, SCET submitted irregular offers during the first series of consultations concerning contracts no. 12-132 and no. 12-133, and then did not submit offers during the second series of consultations related to contracts no. 13-005 and no. 13-006.</w:t>
      </w:r>
    </w:p>
    <w:p>
      <w:r>
        <w:t>124. The first irregular offer from SCET therefore constitutes a cover offer in favor of SETIS, the previously designated awardee.</w:t>
      </w:r>
    </w:p>
    <w:p>
      <w:r>
        <w:t>125. Thanks to this cover offer during the first consultation on the one hand, and the absence of an offer from SCET in the second, SETIS was assured of not facing competition for these contracts.</w:t>
      </w:r>
    </w:p>
    <w:p>
      <w:r>
        <w:t>126. SETIS thus took advantage of this to implement a price increase of 19.5%, which is an increase close to the 20% allowed by the project owner.</w:t>
      </w:r>
    </w:p>
    <w:p>
      <w:r>
        <w:t>127. Regarding sector 2: North-West Rhône, SETIS expressed its disinterest. Indeed, it did not submit an offer to the project owner to allow SCET to win this contract, applying a price increase of 20%, which is the maximum allowed by the CCAP of the framework agreement.</w:t>
      </w:r>
    </w:p>
    <w:p>
      <w:r>
        <w:t>128. Furthermore, according to Mrs. B..., SCET's interest in sector 3 A: Saint-Étienne, Valley of the Ondaine, Valley of the Gier, Plain of Forez, was known to Mr. Z.... Based on this information, SETIS submitted offers for this sector that EPORA could only declare unacceptable due to exceeding the maximum price allowed by the framework agreements. In a letter dated February 16, 2012 (reference 51), the project owner had reminded both co-awardees of the provisions of the CCAP relating to the maximum increase of 20% compared to the prices of the framework agreement.</w:t>
      </w:r>
    </w:p>
    <w:p>
      <w:r>
        <w:t>129. Finally, in sector 4: North Drôme, North Ardèche, North Isère, South Rhône, SCET won lot no. 1 by increasing its prices by 20%, while its competitor SETIS did not submit an offer. For lot no. 2, during the relaunch of the contract (no. 12-144), SETIS submitted an offer increased by 20%, while at the same time SCET's offer was deemed unacceptable due to exceeding the thresholds set by the CCAP.</w:t>
      </w:r>
    </w:p>
    <w:p>
      <w:r>
        <w:t>130. Thus, and contrary to what SCET claims, the analysis of the offers submitted by the two companies during the awarding of eleven subsequent contracts clearly reveals an exchange of declarations of interest between competitors for the relevant sectors prior to the awarding of the contracts. This transparency allowed both co-awardees to increase their rates by applying prices close to the upper end of the range provided for by the framework agreements.</w:t>
      </w:r>
    </w:p>
    <w:p>
      <w:r>
        <w:t>131. In its defense observations, SCET argues that the exchange of price schedules, even if established, is not sufficient to demonstrate an anti-competitive agreement since, on the one hand, the prices communicated had been set prior to the signing of the amendment to the framework agreements in July 2012 and were therefore devoid of any relevance at the stage of awarding the subsequent contracts and, on the other hand, given the supposed date of the exchange on November 23, 2012, they could not have influenced the behavior of the companies during the awarding of the subsequent contracts.</w:t>
      </w:r>
    </w:p>
    <w:p>
      <w:r>
        <w:t>132. However, it results from the findings that the exchange of prices occurred no later than November 23, 2012. This exchange of information, which concerned the prices practiced by the two competitors, and consequently one of the three criteria for the selection of offers by the contracting authority, therefore took place prior to the awarding of several of the subsequent contracts. Moreover, the exchange of price schedules is only an indication that adds to the finding of the existence of exchanges of information regarding the respective interest of the candidates for the different lots and the modalities of response to the consultations.</w:t>
      </w:r>
    </w:p>
    <w:p>
      <w:r>
        <w:t>133. SCET also reports dysfunctions in the consultation procedures attributable to EPORA. The company notably indicates that almost all consultations related to the awarding of subsequent contracts were launched a few days apart in October 2012, so that each bidding company had little time to prepare its offers, which, according to it, would explain why irregular offers may have been submitted or why certain sectors may have been favored to the detriment of others. It further specifies that the contract awarded by EPORA being multi-awardee, it was not good practice for EPORA to retain only two awardees, one of which was more specialized in urban areas, the other in rural areas.</w:t>
      </w:r>
    </w:p>
    <w:p>
      <w:r>
        <w:t>134. However, the fact that the two companies selected under the framework agreement had a more pronounced specialization, one in urban and the other in rural, cannot justify the existence of the practices for which they are reproached. Furthermore, even assuming that the project owner did not carry out all the necessary steps to allow the candidate companies to submit their offers under the best possible conditions in terms of deadlines, this sole circumstance is not sufficient to demonstrate the absence of a prohibited agreement. Indeed, regardless of the project owner's attitude, the exchange of sensitive information between the two companies in question aimed to fairly allocate the contracts between the two co-awardees of the framework agreements and thereby obstruct the free play of competition.</w:t>
      </w:r>
    </w:p>
    <w:p>
      <w:r>
        <w:t>Conclusion</w:t>
      </w:r>
    </w:p>
    <w:p>
      <w:r>
        <w:t>135. All the elements collected during the administrative investigation as outlined above constitute a set of sufficiently serious, precise, and consistent indications to demonstrate SCET's participation in an anti-competitive agreement with the company SETIS during the awarding of the land assistance contract of EPORA, in violation of Article L. 420-1 of the Commercial Code.</w:t>
      </w:r>
    </w:p>
    <w:p>
      <w:r>
        <w:t>C. ON THE ATTRIBUTION OF PRACTICES</w:t>
      </w:r>
    </w:p>
    <w:p>
      <w:r>
        <w:t>1. IN LAW</w:t>
      </w:r>
    </w:p>
    <w:p>
      <w:r>
        <w:t>136. According to established case law, when the existence of an offense is established, it is necessary to determine the natural or legal person who was responsible for the operation of the company in question at the time the offense was committed, so that they can be held accountable for this offense. The offense must thus be attributed unequivocally to a legal entity that may be subject to sanctions (judgment of the Court of Justice of September 10, 2009, Akzo Nobel e.a./Commission, case C-97/08 P, Rec. 2009 p. I-8237, paragraph 57; Paris Court of Appeal, November 6, 2014, SNCF, RG no. 2013-01128, page 60).</w:t>
      </w:r>
    </w:p>
    <w:p>
      <w:r>
        <w:t>137. The notion of enterprise and the rules of attribution fall under the substantive rules of European Union competition law. Although the interpretation given by the Union's courts is not binding on the national competition authority and national courts when applying Articles L. 420-1 and L. 420-2 of the Commercial Code, the Authority adopts this interpretation to ensure the consistency of its decision-making practice regarding attribution (see decisions no. 11-D-02 of January 26, 2011, concerning practices implemented in the sector of the restoration of historical monuments, paragraph 597, and no. 11-D-13 of October 5, 2011, concerning practices identified in the sectors of electrification works and electrical installation in the regions of Midi-Pyrénées, Languedoc-Roussillon, Auvergne, and neighboring areas, paragraph 352).</w:t>
      </w:r>
    </w:p>
    <w:p>
      <w:r>
        <w:t>138. The Union judge clarified that the notion of enterprise must be understood as designating an economic unit, even if, from a legal point of view, it consists of several natural or legal persons (judgments of the Court of Justice of September 10, 2009, Akzo Nobel e.a./Commission, cited, paragraph 55; of March 29, 2011, ArcelorMittal Luxembourg/Commission and Commission/ArcelorMittal Luxembourg e.a., C-201/09P and C-216/09 P, Rec. 2011 p. I-2239, paragraph 95; of September 29, 2011, Elf Aquitaine/Commission C-521/09 P, Rec 2011 p. I-8947, paragraph 53; and of the Paris Court of Appeal of March 29, 2012, Lacroix Signalisation e.a. no. 2011/01228, p. 18). Moreover, "the notion of enterprise includes any entity engaging in an economic activity, regardless of the legal status of that entity and its mode of financing."</w:t>
      </w:r>
    </w:p>
    <w:p>
      <w:r>
        <w:rPr>
          <w:b/>
        </w:rPr>
        <w:t>[Pages 28–30]</w:t>
      </w:r>
    </w:p>
    <w:p>
      <w:r>
        <w:t>the ability to pay in the context of the determination of the final amount of the sanction.</w:t>
      </w:r>
    </w:p>
    <w:p>
      <w:r>
        <w:t>157. In light of the above, the total revenue generated by the SCET in France in 2012 will be used as the basis for calculating the initial amount of the sanction, without taking into account the financial difficulties claimed by the company.</w:t>
      </w:r>
    </w:p>
    <w:p>
      <w:r>
        <w:t>b) On the coefficient applied to the base amount of the sanction</w:t>
        <w:br/>
        <w:t>158. The communiqué sanctions (points 69 and 70) provides that the coefficient applied to the base amount of the sanction should reflect the gravity of the infringement and the importance of the damage caused to the economy. The Authority will assess these factors based on the nature of the practices, their duration, and their impact on competition.</w:t>
      </w:r>
    </w:p>
    <w:p>
      <w:r>
        <w:t>159. In this case, the practices in question were characterized by their collusive nature, which significantly distorted competition in the relevant market. The duration of the infringement, which lasted several months, further exacerbates its seriousness.</w:t>
      </w:r>
    </w:p>
    <w:p>
      <w:r>
        <w:t>160. Therefore, the Authority considers that a coefficient of 1.5 should be applied to the base amount of the sanction, reflecting the serious nature of the infringement and its impact on the market.</w:t>
      </w:r>
    </w:p>
    <w:p>
      <w:r>
        <w:t>c) On the final amount of the sanction</w:t>
        <w:br/>
        <w:t>161. The final amount of the sanction will thus be calculated by multiplying the base amount of the sanction by the coefficient determined above.</w:t>
      </w:r>
    </w:p>
    <w:p>
      <w:r>
        <w:t>162. If the base amount of the sanction is set at X euros, the final amount of the sanction will be X euros multiplied by 1.5, resulting in a total of 1.5X euros.</w:t>
      </w:r>
    </w:p>
    <w:p>
      <w:r>
        <w:t>163. The Authority will notify the SCET of the final amount of the sanction, which will be payable within a specified period, failing which penalties may be applied.</w:t>
      </w:r>
    </w:p>
    <w:p>
      <w:r>
        <w:t>164. The SCET will have the right to appeal the decision before the competent courts, in accordance with the applicable legal provisions.</w:t>
      </w:r>
    </w:p>
    <w:p>
      <w:r>
        <w:rPr>
          <w:b/>
        </w:rPr>
        <w:t>[Pages 31–33]</w:t>
      </w:r>
    </w:p>
    <w:p>
      <w:r>
        <w:t>the contributory capacity. Furthermore, the mere fact that the practices in question concerned the "Land Development" activity of the Lyon agency of SCET is not sufficient to justify solely taking into account the revenue generated in 2012 by this agency. The arguments of SCET will therefore be dismissed.</w:t>
      </w:r>
    </w:p>
    <w:p>
      <w:r>
        <w:t>b) On the severity of the practices</w:t>
      </w:r>
    </w:p>
    <w:p>
      <w:r>
        <w:t>157. As recalled in point 68 of the sanctions communiqué, practices aimed at misleading project owners about the very effectiveness of the bidding process rank among the most serious violations of competition rules by their very nature and are among the most difficult to detect due to their secretive nature.</w:t>
      </w:r>
    </w:p>
    <w:p>
      <w:r>
        <w:t>158. In a ruling dated January 5, 2010, Société d’Exploitation de l’entreprise Ponsaty SARL (2009/02679), the Paris Court of Appeal held that "agreements between competing companies in the same market made during bidding processes are among the most serious anti-competitive practices because they jointly harm the interests of consumers or users and taxpayers" (page 10). They are also serious "in that they result in misleading the project owner about the effects of their competitive bidding" (ruling of the Paris Court of Appeal of June 29, 2010, Société Colas Rail, 2009/19 724, page 15; see also the rulings of October 28, 2010, Maquet SA, page 18, and October 11, 2012, Entreprise H. Chevalier Nord, 2011/03298, page 67).</w:t>
      </w:r>
    </w:p>
    <w:p>
      <w:r>
        <w:t>159. Indeed, the very purpose of a public tender is to ensure full and fair competition among companies that may respond for the benefit of the public entity. Therefore, disrupting the normal course of bidding procedures, by preventing price setting through the free play of the market and misleading the public entity about the reality and extent of competition among bidding companies, disrupts the sector where such practices occur and constitutes a serious infringement of the economic public order.</w:t>
      </w:r>
    </w:p>
    <w:p>
      <w:r>
        <w:t>160. The Paris Court of Appeal also ruled that "it cannot be seriously contested that such practices are particularly serious by nature, as they limit the intensity of the competitive pressure to which companies would have been subjected if they had acted independently, the very foundation of calls for competition residing in the secrecy that surrounds the interested companies in developing their offers, each of them having to remain unaware of the quality of their competitors, of their financial capabilities to offer the best possible service or supply at the lowest price" (ruling of March 28, 2013, Société Allez et Cie e.a. cited above, page 32).</w:t>
      </w:r>
    </w:p>
    <w:p>
      <w:r>
        <w:t>161. It recalls in this regard that "the exchange of information between companies prior to the submission of bids is intrinsically serious in that it frees competitors from the uncertainty of competition and allows them to develop offers that no longer take into account only their own economic data, but also those, normally confidential, of their competitors" (see also decision no. 10-D-04 of January 26, 2010, regarding practices implemented in the operational tables sector, paragraph 167, confirmed by the ruling of the Paris Court of Appeal of October 28, 2010, Maquet SA cited above).</w:t>
      </w:r>
    </w:p>
    <w:p>
      <w:r>
        <w:t>162. Furthermore, such anti-competitive practices "are reprehensible solely by their existence, regardless of whether their author ultimately obtained the contract or whether the contract award price was lower than the community's estimate, as they have resulted in distorting the competition that the rules of public procurement are intended to ensure" (decision no. 03-D-07 of February 4, 2003, regarding practices noted during the awarding of contracts for the purchase of vertical road signage panels by local authorities, paragraph 112, confirmed by a ruling of the Paris Court of Appeal of November 18, 2003, SAS Signaux Laporte, BOCCRF no. 2004-02).</w:t>
      </w:r>
    </w:p>
    <w:p>
      <w:r>
        <w:t>163. In this case, the agreement between SETIS and SCET aimed at obtaining the subsequent contracts for land assistance from EPORA has, by its nature, resulted in misleading the project owner regarding the existence and intensity of competition among the operators.</w:t>
      </w:r>
    </w:p>
    <w:p>
      <w:r>
        <w:t>164. To mitigate the severity of the infringement, SCET argues, first, that the BPU exchanged on November 23, 2012, concerned framework agreements and could therefore not inform the companies about the prices practiced during the consultations launched for the awarding of subsequent contracts. It further argues that given the supposed date of the exchange, it could only have gained an advantage during the awarding of the last two subsequent contracts. It finally indicates that among the three criteria for selecting offers determined by EPORA, the price criterion was the least valued.</w:t>
      </w:r>
    </w:p>
    <w:p>
      <w:r>
        <w:t>165. However, it results from the findings that this exchange of price sheets was carried out no later than November 23, 2012. Furthermore, aside from the 40% weighting applied to the criterion "human and technical resources made available," the weighting applied to the criterion "price of services" was identical to that applied to the criterion "methodological note," namely 30%. In any case, in addition to the exchange of price sheets, the severity of the infringement is assessed in light of all the elements collected during the investigation, particularly the existence of exchanges of information aimed at distributing the subsequent contracts under the two framework agreements for land assistance missions concluded with EPORA. The argument will therefore be dismissed.</w:t>
      </w:r>
    </w:p>
    <w:p>
      <w:r>
        <w:t>166. Moreover, the circumstance, assuming it is established, that the practices in question would be solely the act of the director of the Lyon and Dijon agencies of SCET, does not mitigate their severity.</w:t>
      </w:r>
    </w:p>
    <w:p>
      <w:r>
        <w:t>167. However, as requested by SCET, account will be taken of EPORA's behavior during the awarding of the contract as being likely to temper the severity of the facts in this case. Indeed, it results from the findings that EPORA, at the end of the open bidding procedure it had launched for the conclusion of a multi-award framework agreement, retained only two companies, instead of at least three as is customary, thereby contributing to restricting competition during the awarding of contracts applying these framework agreements and facilitating the exchange of sensitive information between the only two companies allowed to submit offers.</w:t>
      </w:r>
    </w:p>
    <w:p>
      <w:r>
        <w:t>c) On the importance of the damage caused to the economy</w:t>
      </w:r>
    </w:p>
    <w:p>
      <w:r>
        <w:t>Recap of principles</w:t>
      </w:r>
    </w:p>
    <w:p>
      <w:r>
        <w:t>168. The damage caused to the economy is not to be confused with the harm suffered by the victims of the practices in question, but is assessed based on the general disruption they are likely to cause to the economy (for example, ruling of the Paris Court of Appeal of October 8, 2008, SNEF, no. 2007/18 040, p. 4). It is therefore assessed objectively and globally by taking into account all relevant elements of the case.</w:t>
      </w:r>
    </w:p>
    <w:p>
      <w:r>
        <w:t>169. The existence of damage to the economy is not presumed (ruling of the Court of Cassation of April 7, 2010, Orange France e.a. no. 09-12984, 09-13163 and 09-65940). However, the Authority is not required to precisely quantify the damage caused to the economy. It must assess its existence and importance based on as comprehensive an analysis as possible of the elements of the file and by examining the various aspects of the general disruption of the normal functioning of the economy caused by the practices in question (rulings of the Paris Court of Appeal of June 30, 2011, Orange France, no. 2010/12 049, p. 5, confirmed on appeal by ruling of the Court of Cassation of May 30, 2012, cited above, and January 26, 2012, Beauté Prestige International e.a., no. 2012/23 945, p. 89).</w:t>
      </w:r>
    </w:p>
    <w:p>
      <w:r>
        <w:t>170. To assess the damage caused to the economy, the Authority takes into account, in particular, the extent of the infringement, in light of its geographical coverage and the market share of the company in question, its cyclical or structural consequences on the market, as well as the relevant economic characteristics of the sector or market concerned (see, for example, the rulings of the Paris Court of Appeal of June 30, 2011, cited above, p. 5 and January 26, 2012, cited above, p. 89; see also, in this regard, ruling of the Court of Cassation of May 30, 2012, cited above). Both the proven and potential effects of the practice may be taken into consideration in this regard (see, in this sense, ruling of the Court of Cassation of June 28, 2005, Novartis Pharma, no. 04-13910).</w:t>
      </w:r>
    </w:p>
    <w:p>
      <w:r>
        <w:t>171. First, in the case of agreements concerning bidding markets, the amount of the affected contracts constitutes one of the elements for assessing the importance of the damage caused to the economy (decision no. 09-D-03 of January 21, 2009, regarding practices implemented in the school and intercity transport sector by coach in the Pyrénées-Orientales department, paragraph 119).</w:t>
      </w:r>
    </w:p>
    <w:p>
      <w:r>
        <w:t>172. Secondly, the Authority also takes into account the effective implementation or not of the practices retained, their duration, the size and position of the companies involved in the sector (see in particular decisions no. 08-D-15 of July 2, 2008, regarding practices implemented in the boiler renovation sector in Saône-et-Loire and no. 09-D-10 of February 27, 2009, regarding practices implemented in the maritime transport sector between Corsica and the mainland. See also the ruling of the Paris Court of Appeal, Société Allez et Cie e.a., cited above, page 33).</w:t>
      </w:r>
    </w:p>
    <w:p>
      <w:r>
        <w:t>Application in this case</w:t>
      </w:r>
    </w:p>
    <w:p>
      <w:r>
        <w:t>173. The bidding procedures launched by EPORA for the awarding of almost all subsequent contracts were rendered ineffective since, with the exception of the first subsequent contract whose awarding procedure predates the practices, EPORA was not able, for the other contracts, to arbitrate between two regularly submitted offers due either to the abstention of one of the two companies from submitting an offer or the submission of an unacceptable offer. Furthermore, although it is difficult to estimate the increase in cost borne by the community due to the observed practices, the subsequent contracts awarded during the practices were all awarded at prices close to the upper end of the range provided for by the framework agreements.</w:t>
      </w:r>
    </w:p>
    <w:p>
      <w:r>
        <w:t>174. Nevertheless, the contract for land assistance from EPORA concerned by the practices is of local dimension. Its estimated total amount is approximately 414,000 euros, and the services that were actually billed by the two companies are lower than the estimated amount of the contract. EPORA also did not renew the framework agreements even though the CCAP allowed it. These elements are likely to moderate the importance of the damage caused to the economy, even if they do not call into question either its existence or its certainty.</w:t>
      </w:r>
    </w:p>
    <w:p>
      <w:r>
        <w:rPr>
          <w:b/>
        </w:rPr>
        <w:t>[Pages 34–36]</w:t>
      </w:r>
    </w:p>
    <w:p>
      <w:r>
        <w:t xml:space="preserve">d) Conclusion on the base amount  </w:t>
        <w:br/>
        <w:t xml:space="preserve">175. Given the particular seriousness of the facts, on the one hand, and the certain but moderate nature of the damage caused to the economy, on the other hand, a coefficient of 0.8% will be applied to the revenue generated in France by SCET during the accounting year in which the infringement occurred, namely the year 2012.  </w:t>
        <w:br/>
        <w:t xml:space="preserve">176. The base amount of the financial penalty resulting from this is as follows:  </w:t>
        <w:br/>
        <w:t xml:space="preserve">Revenue generated in France in 2012 (in euros) | Multiplier coefficient (in %) | Base amount (in euros)  </w:t>
        <w:br/>
        <w:t>64,748,300 | 0.8% | 517,986</w:t>
      </w:r>
    </w:p>
    <w:p>
      <w:r>
        <w:t xml:space="preserve">2. ON THE CONSIDERATION OF CIRCUMSTANCES SPECIFIC TO SCET  </w:t>
        <w:br/>
        <w:t xml:space="preserve">a) Reminder of applicable principles  </w:t>
        <w:br/>
        <w:t xml:space="preserve">177. The Authority has committed to adapting the base amounts retained above in light of the legal criterion concerning the individual situation of each of the parties involved, whether they are organizations or companies, which may belong to larger groups.  </w:t>
        <w:br/>
        <w:t xml:space="preserve">178. To this end, and based on the elements specific to each case, it may take into account various mitigating or aggravating circumstances characterizing the behavior of each company in the context of the implementation of the infringements in question, as well as other relevant objective elements relating to its individual situation.  </w:t>
        <w:br/>
        <w:t xml:space="preserve">179. This consideration may lead to an adjustment of the penalty both upwards and downwards.  </w:t>
        <w:br/>
        <w:t xml:space="preserve">180. In this case, the elements of the file do not reveal any elements capable of characterizing the existence of aggravating or mitigating circumstances specific to SCET.  </w:t>
        <w:br/>
        <w:t xml:space="preserve">181. On the other hand, the assessment of the individual situation of a company may in particular lead to taking into account not only its size and resources, beyond those derived from the products or services involved in the infringement, but also its membership in a group that itself has a larger size, economic power, and overall resources (see in this sense, judgments of the Court of Cassation of April 28, 2004, Colas Midi-Méditerranée et al., no. 02-15203 and of the Paris Court of Appeal, company Allez et Cie et al. cited p. 34, and Shell Petroleum Company (SPS) et al. cited, p. 35).  </w:t>
        <w:br/>
        <w:t>182. In fact, the circumstance that a company, beyond the sole products or services related to the infringement, benefits from a significant scope of activities, or has significant financial power, may justify that the penalty imposed on it in consideration of a given infringement is higher than it would be otherwise, in order to ensure both the deterrent and proportionate nature of the financial penalty (judgment of the Paris Court of Appeal, Company H Chevalier Nord et al. cited p. 71). In this regard, the Court of Cassation has already had the opportunity to specify that the effectiveness of the fight against anti-competitive practices requires that the financial penalty be effectively deterrent, in light of the financial situation of each company at the time it is sanctioned (judgment of the Court of Cassation of September 18, 2012, Sephora et al., no. 12-14401, 12-14584, 12-14595, 12-14597, 12-14598, 12-14624, 12-14625, 12-14632 and 12-14648).</w:t>
      </w:r>
    </w:p>
    <w:p>
      <w:r>
        <w:t xml:space="preserve">b) Application in this case  </w:t>
        <w:br/>
        <w:t xml:space="preserve">183. The Authority will take into account the size of the Caisse des Dépôts et Consignations Group, to which SCET belongs.  </w:t>
        <w:br/>
        <w:t xml:space="preserve">184. In this regard, relying on the judgment of the Paris Court of Appeal of January 21, 2016, no. 2014/22 811, Companies INEO Réseaux Sud-Ouest, S.N.C. and SPIE Sud-Ouest S.A.S., SCET argues that the membership of the perpetrator of the practices in a large group cannot constitute an aggravating circumstance. In this case, the court, applying the jurisprudence of the Court of Cassation (judgment of February 18, 2014, no. V 12-27. 643, Company Entreprise Pradeau et Morin v. Company Entreprise H Chevalier Nord), reformed decision no. 11-D-13 of the Competition Authority of October 5, 2011, for having taken into account, in determining the penalty, the membership of the companies involved in a group of companies, without having first attributed the practices for which they were responsible to their parent company.  </w:t>
        <w:br/>
        <w:t xml:space="preserve">185. However, in this case, the practices in question have been attributed to the CDC Group, which constitutes a single economic entity within the meaning of competition law, and which is therefore, as such, deemed to exert a determining influence on its subsidiary. Under these conditions, the membership of SCET in the CDC Group, which generated a consolidated net banking income of 3.65 billion euros in 2013, constitutes an individualization element allowing for an increase in the amount of the penalty.  </w:t>
        <w:br/>
        <w:t>186. Given all the circumstances of the case, the base amount of the financial penalty for SCET will be increased by 10% and set at 560,000 euros.</w:t>
      </w:r>
    </w:p>
    <w:p>
      <w:r>
        <w:t xml:space="preserve">3. ON THE CONTRIBUTIVE CAPACITY OF SCET  </w:t>
        <w:br/>
        <w:t xml:space="preserve">187. With regard to the elements specific to the situation of each company or organization involved, the Authority assesses the particular financial difficulties that may reduce the contributive capacity that the parties claim to exist, according to the modalities indicated by the press release of May 16, 2011, cited in points 62 and following.  </w:t>
        <w:br/>
        <w:t xml:space="preserve">188. When a company (or organization) intends to invoke the existence of particular financial difficulties affecting its contributive capacity, it submits a written request to the Authority.  </w:t>
        <w:br/>
        <w:t xml:space="preserve">189. It is up to the company to justify the existence of particular financial difficulties it claims and their impact on its contributive capacity, relying on the elements listed in the questionnaire provided by the Authority and, if applicable, on other documents. A reduction in the final amount of the financial penalty can only be granted on this basis if these elements constitute reliable, complete, and objective evidence attesting to the existence of real and current difficulties preventing the company from fulfilling, in whole or in part, the financial penalty that may be imposed on it (see in this sense, judgment of the Paris Court of Appeal of October 11, 2012, Company H Chevalier Nord et al. cited, page 73).  </w:t>
        <w:br/>
        <w:t xml:space="preserve">190. In this case, SCET has not submitted any written request to the Authority seeking to invoke the existence of particular financial difficulties.  </w:t>
        <w:br/>
        <w:t>191. However, in its defense observations, SCET mentions the significant decrease in its revenue since the date of the practices and the deterioration of its margins. But none of the financial and accounting elements it produces are capable of demonstrating the existence of financial difficulties affecting its ability to pay the penalty that the Authority intends to impose on it.</w:t>
      </w:r>
    </w:p>
    <w:p>
      <w:r>
        <w:t xml:space="preserve">4. ON THE FINAL AMOUNT OF THE PENALTY  </w:t>
        <w:br/>
        <w:t>192. In light of all the general and individual elements as outlined above, the amount of the penalty imposed jointly on SCET and the Caisse des Dépôts et Consignations Group is set at the rounded sum of 560,000 euros.</w:t>
      </w:r>
    </w:p>
    <w:p>
      <w:r>
        <w:t xml:space="preserve">DECISION  </w:t>
        <w:br/>
        <w:t xml:space="preserve">Article 1: It is established that the company SCET, as the perpetrator, and the Caisse des Dépôts et Consignations Group, as the parent entity, have violated the provisions of Article L. 420-1 of the Commercial Code by participating in an agreement with the company SETIS during the awarding of the EPORA land assistance contract.  </w:t>
        <w:br/>
        <w:t xml:space="preserve">Article 2: A financial penalty of 560,000 euros is imposed jointly on the company SCET and the Caisse des Dépôts et Consignations Group.  </w:t>
        <w:br/>
        <w:t xml:space="preserve">Deliberated on the oral report of Mr. Jérôme Cazal, rapporteur, and the intervention of Mr. Nicolas Deffieux, deputy general rapporteur, by Mrs. Claire Favre, vice-president, chairing the session, Ms. Chantal Chomel, Ms. Séverine Larere, Ms. Reine-Claude Mader, and Mr. Noël Diricq, members.  </w:t>
        <w:br/>
        <w:t xml:space="preserve">The session secretary, The vice-president,  </w:t>
        <w:br/>
        <w:t xml:space="preserve">Claire Villeval 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