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https://www.autoritedelaconcurrence.fr/fr/decision/relative-des-pratiques-mises-en-oeuvre-sur-le-marche-des-produits-dentretien-des-lentilles</w:t>
      </w:r>
    </w:p>
    <w:p>
      <w:r>
        <w:t>Pages translated : 2</w:t>
      </w:r>
    </w:p>
    <w:p/>
    <w:p>
      <w:r>
        <w:rPr>
          <w:b/>
        </w:rPr>
        <w:t>[Pages 1–2]</w:t>
      </w:r>
    </w:p>
    <w:p>
      <w:r>
        <w:t xml:space="preserve">COUNCIL OF COMPETITION  </w:t>
        <w:br/>
        <w:t xml:space="preserve">Decision No. 97 D 65  </w:t>
        <w:br/>
        <w:t xml:space="preserve">of September 16, 1997  </w:t>
        <w:br/>
        <w:t>regarding practices implemented in the market for contact lens care products</w:t>
      </w:r>
    </w:p>
    <w:p>
      <w:r>
        <w:t>The Competition Council (permanent commission),</w:t>
      </w:r>
    </w:p>
    <w:p>
      <w:r>
        <w:t>Having regard to the letter registered on June 27, 1991, under number F 419, by which the Minister of State, Minister of Economy, Finance, and Budget, referred to the Competition Council practices implemented in the market for contact lens care products;</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under Article 27 of the ordinance of December 1, 1986: "The Council cannot be seized of facts dating back more than three years if no act has been made to seek, establish, or sanction them"; that the Court of Appeal of Paris in a judgment of December 1, 1995 (société l'Entreprise industrielle, 1st chamber, Competition section, judgment No. 95/3245), confirmed by the Court of Cassation (commercial, financial and economic chamber, judgment No. 1848 P of July 8, 1997), ruled that: "This text establishes a limitation period and defines the nature of acts that have the effect of interrupting it; (...) that any limitation, the acquisition of which results in rendering an action inadmissible or prohibiting the sanction of a fact, begins to run again after it has been interrupted, subject to any possible cause (...) for the suspension of its course";</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w:t>
      </w:r>
    </w:p>
    <w:p>
      <w:r>
        <w:t xml:space="preserve">Article 20 of the ordinance of December 1, 1986,  </w:t>
        <w:br/>
        <w:t xml:space="preserve">DECIDES:  </w:t>
        <w:br/>
        <w:t xml:space="preserve">Single Article. There is no need to continue the procedure.  </w:t>
        <w:br/>
        <w:t xml:space="preserve">Deliberated, on the oral report of Mr. Savinien Grignon Dumoulin, designated in place of Mr. Guérin, prevented, by Messrs. Barbeau, president, Cortesse, vice president, and Bon, member, designated in place of Mr. Jenny, vice president, prevented.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