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https://www.autoritedelaconcurrence.fr/fr/decision/relative-des-pratiques-mises-en-oeuvre-sur-le-marche-des-vins-doux-naturels-dappellation</w:t>
      </w:r>
    </w:p>
    <w:p>
      <w:r>
        <w:t>Pages translated : 12</w:t>
      </w:r>
    </w:p>
    <w:p/>
    <w:p>
      <w:r>
        <w:rPr>
          <w:b/>
        </w:rPr>
        <w:t>[Pages 1–3]</w:t>
      </w:r>
    </w:p>
    <w:p>
      <w:r>
        <w:t xml:space="preserve">FRENCH REPUBLIC  </w:t>
        <w:br/>
        <w:t xml:space="preserve">Decision No. 04-D-35 of July 23, 2004  </w:t>
        <w:br/>
        <w:t xml:space="preserve">regarding practices implemented in the market for natural sweet wines  </w:t>
        <w:br/>
        <w:t xml:space="preserve">of controlled designation of origin Rivesaltes  </w:t>
        <w:br/>
        <w:t xml:space="preserve">The Competition Council (permanent commission),  </w:t>
        <w:br/>
        <w:t xml:space="preserve">Having regard to the letter registered on May 26, 1999, under number F 1145, by which the companies  </w:t>
        <w:br/>
        <w:t xml:space="preserve">Socodivin and Les Caves de la Cote Radieuse (CCR) referred to the Competition Council practices implemented in the market for natural sweet wines of the Pyrénées Orientales under Controlled Designation of Origin (AOC) Rivesaltes by the Interprofessional Committee of Natural Sweet Wines (CIVDN) and the traders who are members of this Committee, likely to fall within the scope of Articles L. 420-1 and following of the Commercial Code;  </w:t>
        <w:br/>
        <w:t xml:space="preserve">Having regard to Book IV of the Commercial Code relating to price freedom and competition, Decree No. 86-1309 of December 29, 1986 as amended, setting the conditions for the application of Ordinance No. 86-1243 of December 1, 1986 and Decree 2002-689 of April 30, 2002 setting the conditions for the application of Book IV of the Commercial Code;  </w:t>
        <w:br/>
        <w:t xml:space="preserve">Having regard to the observations presented by the companies Socodivin and Les Caves de la Cote Radieuse, and by the Government Commissioner;  </w:t>
        <w:br/>
        <w:t xml:space="preserve">Having regard to the other documents in the file;  </w:t>
        <w:br/>
        <w:t xml:space="preserve">The rapporteur, the general rapporteur, the Government Commissioner, and the representatives of the companies Socodivin and Les Caves de la Cote Radieuse heard during the session of March 31, 2004;  </w:t>
        <w:br/>
        <w:t xml:space="preserve">Adopts the following decision:  </w:t>
        <w:br/>
        <w:t xml:space="preserve">I. Findings  </w:t>
        <w:br/>
        <w:t xml:space="preserve">1. The S.a.r.l Socodivin and Les Caves de la Cote Radieuse (CCR), collectively referred to as Socodivin in the referral letter, as well as in this decision, belong to the same partners. These two companies carry out, in a complementary manner, a trading activity in the market for natural sweet wines, with Socodivin purchasing the wines in bulk and aging them, while CCR packages and markets them.  </w:t>
        <w:br/>
        <w:t xml:space="preserve">2. The company Socodivin claims that the Committee of the natural sweet wines market with AOC Rivesaltes and the traders who are members of this committee allegedly prevented it from sourcing during part of the year 1996, for the 1994 harvest of these wines, with the aim of excluding it from this market.  </w:t>
        <w:br/>
        <w:t xml:space="preserve">3. This company supports its referral with the investigation report carried out in 1998 by the departmental directorate of competition, consumption, and fraud repression of the Pyrénées-Orientales, which did not result in the referral of the Competition Council by the Minister of Economy, Finance, and Industry.  </w:t>
        <w:br/>
        <w:t xml:space="preserve">A. THE SECTOR OF ACTIVITY  </w:t>
        <w:br/>
        <w:t xml:space="preserve">4. The production of natural sweet wines from the departments of Pyrénées Orientales and Aude represented, in 1998, a volume of approximately 460,000 hl, or more than 50 million bottles. Mainly organized around cooperatives, this production is segmented into 11 appellations, including AOC Rivesaltes, which covers 10,797 ha and produced 238,178 hl in 1998. It is in this market segment that anti-competitive practices have, according to Socodivin, been implemented.  </w:t>
        <w:br/>
        <w:t xml:space="preserve">5. Following marketing difficulties for the Rivesaltes appellation, a plan of the same name was developed in 1996. This plan, accompanied by specific aids, led to a decrease of approximately 4,000 ha in the production areas of this appellation, which resulted in an arithmetic decrease in production of about 100,000 hl. The extension of aging periods at the property also allowed for a reduction in the quantities marketed.  </w:t>
        <w:br/>
        <w:t xml:space="preserve">1. THE REGULATION  </w:t>
        <w:br/>
        <w:t xml:space="preserve">6. The protective regulation applicable to the market for natural sweet wines results from decrees that set, in particular, the production areas, planting densities, grape varieties, initial must richness, production management directives, yields per hectare, and the duration of aging at the property.  </w:t>
        <w:br/>
        <w:t xml:space="preserve">7. Regarding the Rivesaltes and Grand Roussillon appellations, the decree of May 19, 1972 established a blocking period at the property of 12 months, until September 1 of the year following the year of wine production. However, this period may evolve from year to year. It is indeed common for a ministerial order to set, for each year, the date from which the harvest of the year is marketable.  </w:t>
        <w:br/>
        <w:t xml:space="preserve">2. THE INTERPROFESSION.  </w:t>
        <w:br/>
        <w:t xml:space="preserve">8. The interprofession for natural sweet wines is represented by the Interprofessional Committee of Natural Sweet Wines (CIVDN) created by Law 200 of April 2, 1943. This Committee represents equally the producer owners, the winemaking, conservation, and distribution cooperatives, as well as the wholesale traders.  </w:t>
        <w:br/>
        <w:t xml:space="preserve">9. The CIVDN has, in particular, the mission of organizing and controlling the production of wines produced in the delimited crus, proposing distribution means while ensuring compliance with local and constant practices, as well as maintaining quality. To this end, it negotiates interprofessional agreements that only become enforceable against all operators in the sector after being endorsed by the public authorities.  </w:t>
        <w:br/>
        <w:t xml:space="preserve">10. The setting of indicative prices for first marketing, conditions of aging, qualitative reserves, and conditions of commercialization, in particular, is therefore done within the framework of prior discussions among the various market participants, gathered within the CIVDN.  </w:t>
        <w:br/>
        <w:t xml:space="preserve">11. It is in this context that the interprofessional agreement of 1995 was negotiated, endorsed by order of November 6, 1995, relating to the declaration of modification of aging as of September 1, 1995. Under these provisions, a partnership was established between producers and traders, concerning the quantities of wines reserved in the producers' cellars, for a qualitative aging purpose aimed at allowing the profession to offer for sale a superior quality product.  </w:t>
        <w:br/>
        <w:t xml:space="preserve">12. It is also the Committee, by delegation of powers granted by the customs service, that issues to traders the Certificates of Authentication and Registration (AAE) that are necessary for the circulation of wines and their commercialization.  </w:t>
        <w:br/>
        <w:t xml:space="preserve">3. THE OPERATORS.  </w:t>
        <w:br/>
        <w:t xml:space="preserve">13. In 1996, there were 4,590 cooperatives producing natural sweet wines under AOC Rivesaltes and 278 individual producers. The producer groups number three: Sivir, Union des Vins Fins, and Vignerons Catalans.  </w:t>
        <w:br/>
        <w:t xml:space="preserve">14. The first marketing of natural sweet wines under AOC Rivesaltes is, for its part, largely dominated by large companies belonging to major groups operating in the wine and spirits market.  </w:t>
        <w:br/>
        <w:t xml:space="preserve">15. However, the participants in the first marketing of this product are few, with the seven main trading companies listed belonging to five groups:  </w:t>
        <w:br/>
        <w:t xml:space="preserve">• the La Martiniquaise group which includes the traders Sardet and Deribaucourt, Campanon Rey, CVR Bourdouil (at 50%),  </w:t>
        <w:br/>
        <w:t xml:space="preserve">• the Val d'Orbieu group which includes the traders CVR Bourdouil (at 50%) and Trilles,  </w:t>
        <w:br/>
        <w:t xml:space="preserve">• the Chais Beaucairois which belong to the Casino group,  </w:t>
        <w:br/>
        <w:t xml:space="preserve">• the Cusenier company which belongs to the Pernod Ricard group,  </w:t>
        <w:br/>
        <w:t xml:space="preserve">• the Bacardi company which belongs to the Martini group.  </w:t>
        <w:br/>
        <w:t>16. The company Socodivin is an independent company, not affiliated with a group, whose market share is estimated by its leaders at approximately 20% of the quantities marketed. It is not a member of the CIVDN.</w:t>
      </w:r>
    </w:p>
    <w:p>
      <w:r>
        <w:rPr>
          <w:b/>
        </w:rPr>
        <w:t>[Pages 4–6]</w:t>
      </w:r>
    </w:p>
    <w:p>
      <w:r>
        <w:t>B. THE PRACTICES</w:t>
      </w:r>
    </w:p>
    <w:p>
      <w:r>
        <w:t>17. The blocking date for the 1994 harvest not having been set by a specific decree, the default date was that provided by the decree of May 19, 1972, namely September 1, 1995. However, since the traders only submitted the purchase contracts starting from January 1, 1996, this date effectively constitutes the end of the blocking period. The aging period for the 1994 harvest was therefore, in fact, 16 months.</w:t>
      </w:r>
    </w:p>
    <w:p>
      <w:r>
        <w:t>18. By application of the decree of August 14, 1996, the marketing of the 1995 harvest of natural sweet wines with AOC Rivesaltes was set for January 1, 1997. However, the interministerial order issued on the eve of this release date, December 18, 1996, postponed the marketing of this harvest by six months, to July 1, 1997. The total duration of the aging period was therefore extended to twenty-two months.</w:t>
      </w:r>
    </w:p>
    <w:p>
      <w:r>
        <w:t>19. According to the company Socodivin, "this modification of the first marketing date for the 1995 harvest results from a request made in this sense by the CIVDN and the Union for the defense of AOC Rivesaltes and Grand Roussillon, on the grounds that the increase in the aging period allowed the wine to gain in quality."</w:t>
      </w:r>
    </w:p>
    <w:p>
      <w:r>
        <w:t>20. Following this postponement of the marketing of the 1995 harvest, the traders found themselves obliged to replenish their stocks with wines from the 1994 harvest in order to market these wines during the six months for which the marketing of the 1995 harvest had been postponed.</w:t>
      </w:r>
    </w:p>
    <w:p>
      <w:r>
        <w:t>21. The company Socodivin claims that it was unable to proceed with this replenishment. It argues that this inability results from the fact that it could not find any available quantities of wines from the 1994 harvest, following the practices of the CIVDN and the traders who are members of the Committee, who adopted, as early as the 2nd quarter of 1995, "in a parallel and simultaneous manner, an economically irrational parallelism of behavior." This common behavior allowed them to mitigate the postponement of the marketing of the 1995 harvest and resulted in drying up the market.</w:t>
      </w:r>
    </w:p>
    <w:p>
      <w:r>
        <w:t>22. The president of the French Association of Wine and Spirits Producers, Bottlers, and Distributors confirmed in this regard that "the main traders had made abnormal massive purchases of the 1994 harvest, in order to deprive the company Socodivin of supplies and the possibility of marketing wines from the 1994 harvest in the first quarter of 1997."</w:t>
      </w:r>
    </w:p>
    <w:p>
      <w:r>
        <w:t>23. According to the company Socodivin, this behavior "suggests that they were aware, as early as the autumn of 1995, of the planned postponement of marketing for the 1995 harvest," which explains why "these operators were able to anticipate this measure."</w:t>
      </w:r>
    </w:p>
    <w:p>
      <w:r>
        <w:t>24. While concluding that the investigations conducted "did not provide formal proof of collusion nor identify any potential responsible parties," the administrative investigation carried out by the services of the Departmental Directorate of Competition, Consumption, and Fraud Repression of the Pyrénées Orientales, following the complaint from the company Socodivin, confirmed the following five facts.</w:t>
      </w:r>
    </w:p>
    <w:p>
      <w:r>
        <w:t>25. First, purchases of wines from the 1994 harvest were made in 1996, disproportionate to immediate needs.</w:t>
      </w:r>
    </w:p>
    <w:p>
      <w:r>
        <w:t>26. The 1994 harvest of natural sweet wines with AOC Rivesaltes produced 340,026 hl. However, in a declining market, the purchases of wines from this harvest made by the main traders amounted to 256,427 hl. Furthermore, the administrative investigation revealed that two-thirds of the wines from the 1994 harvest were definitively purchased starting from January 1, 1996, the release date of the wines from this harvest. These purchases were indeed mainly made during the 1st quarter, amounting to 209,441 hl.</w:t>
      </w:r>
    </w:p>
    <w:p>
      <w:r>
        <w:t>27. The quantities thus definitively purchased were subject to standard sales contracts, with payments made on the basis of monthly installments and withdrawal during the year. The president of the French Association of Wine and Spirits Producers, Bottlers, and Distributors stated on this point that: "this practice (of massive purchases) was facilitated by the changes made regarding payment deadlines, since unlike, for example, spirits, for which 30 days of payment deadlines are required, no such obligation is provided for so-called intermediate products, which include natural sweet wines. This practice allows traders to make firm purchases that are disproportionate to their needs without having to pay interest resulting from deferred payment."</w:t>
      </w:r>
    </w:p>
    <w:p>
      <w:r>
        <w:t>28. Secondly, during the same period, one-third of the production of wines from the 1994 harvest was reserved for a quantity of 60,473 hl, bringing the total quantities purchased and reserved to 316,900 hl out of a production of 340,026 hl.</w:t>
      </w:r>
    </w:p>
    <w:p>
      <w:r>
        <w:t>29. However, according to the investigation report, these reservations were made based on reservation declarations for aging established and submitted to the CIVDN, that is to say, by application of the partnership agreement for aging ratified by the order of November 6, 1995, which does not correspond to the announced objective during its initial presentation (cf. paragraph 11, supra), resulting in a temporary withdrawal from the market of a significant quantity of wines from the 1994 harvest, according to reservation contracts that only became definitive on December 31, 1996.</w:t>
      </w:r>
    </w:p>
    <w:p>
      <w:r>
        <w:t>30. According to the same report, the application that was thus made of this partnership agreement "simply aimed to withdraw from the market, without any financing being secured, a non-negligible quantity of wines that were subsequently purchased under the same conditions as those acquired a year earlier." This practice thus allowed traders "without any financial effort, to contract for quantities far exceeding their needs." The investigators conclude by indicating that it had "the triple advantage of making the product scarce, securing suppliers, and limiting competition," and that "in a market losing momentum, the significance of the purchases and reservations made in 1996 clearly indicates a desire to make the product scarce."</w:t>
      </w:r>
    </w:p>
    <w:p>
      <w:r>
        <w:t>31. Thirdly, significant quantities of wines were transferred between traders in September and October 1996, which could suggest a concerted effort to share the risk of stock management.</w:t>
      </w:r>
    </w:p>
    <w:p>
      <w:r>
        <w:t>32. The administrative investigation highlighted "negative movements corresponding to contract cancellations," with, in parallel, "similarities in quantities and producers between cancellations and purchases." According to the investigators, "there was indeed, between these companies, transfers of goods (in the autumn of 1996), which would attest that certain traders purchased quantities of wines at the beginning of the period that did not correspond to their needs."</w:t>
      </w:r>
    </w:p>
    <w:p>
      <w:r>
        <w:t>33. Fourthly, the actual purchases made during the 1st half of 1997 were low, which increased the quantity of wine available for sale in 1997, compared to 1996.</w:t>
      </w:r>
    </w:p>
    <w:p>
      <w:r>
        <w:t>34. According to the investigation, 65,536 hl of wines from the 1995 harvest were purchased during the 1st half of 1997, whereas, for comparison, 224,987 hl of wines from the previous harvest had been purchased during the same period of the year in 1996. According to the investigators, the weakness of purchases made in 1997 "originates from the significance of purchases and reservations made during the year 1996."</w:t>
      </w:r>
    </w:p>
    <w:p>
      <w:r>
        <w:t>35. This observation is corroborated by the comparative analysis of the evolution of quantities of wines available for sale between 1996 and 1997. Indeed, there were 232,058 hl of wines available for sale in January 1996 compared to 68,502 in January 1997, and conversely, this quantity was 35,067 hl in December 1996 compared to 212,386 hl in December 1997.</w:t>
      </w:r>
    </w:p>
    <w:p>
      <w:r>
        <w:t>36. The quantities of wines available for sale thus continuously decreased in 1996, following the significant purchases and reservations made by the traders. In contrast, the trend reversed in 1997. The investigation concludes that "the weakness of transactions in 1997 clearly indicates excessive purchases made in 1996... in a market losing momentum in terms of consumption, the massive purchases and significant reservations made in 1996 considerably burdened the stocks held by the traders, which led to a postponement of purchases and thus an increase in available quantities."</w:t>
      </w:r>
    </w:p>
    <w:p>
      <w:r>
        <w:t>37. The company Socodivin also complained to the Departmental Directorate of Competition, Consumption, and Fraud Repression of the Pyrénées Orientales about a number of rumors and noises concerning it, aimed at sidelining it from the market, but the administrative investigation "did not allow for the precise identification of the reality of said rumors nor their authors."</w:t>
      </w:r>
    </w:p>
    <w:p>
      <w:r>
        <w:t>38. Based on the preceding findings, the rapporteur proposed to the Council to dismiss the procedure.</w:t>
      </w:r>
    </w:p>
    <w:p>
      <w:r>
        <w:t>II. Discussion</w:t>
      </w:r>
    </w:p>
    <w:p>
      <w:r>
        <w:t>39. According to Article L. 464-6 of the Commercial Code: "When no practice likely to harm competition in the market is established, the Competition Council may decide, after the author of the referral and the Government Commissioner have been able to consult the file and make their observations, that there is no need to continue the procedure."</w:t>
      </w:r>
    </w:p>
    <w:p>
      <w:r>
        <w:t>A. ON ADMISSIBILITY.</w:t>
      </w:r>
    </w:p>
    <w:p>
      <w:r>
        <w:t>40. By application of the provisions of Article L. 462-7 of the Commercial Code, the Competition Council cannot be seized of facts dating back more than three years, if no act has been made aimed at their investigation, observation, or sanction.</w:t>
      </w:r>
    </w:p>
    <w:p>
      <w:r>
        <w:t>41. In this case, the company Socodivin referred the Council on May 26, 1999, regarding facts prior to May 26, 1996, which are therefore likely to be covered by the statute of limitations. However, the referring party produced in support of its referral an investigation report dated March 30, 1998, established following the investigation conducted by the Departmental Directorate of Competition, Consumption, and Fraud Repression of the Pyrénées Orientales, upon complaint from the company Socodivin. The first minutes of the hearing interrupting the statute of limitations conducted within the framework of this investigation are dated November 18, 1997, thus the practices denounced that would have been implemented starting from November 18, 1995, are consequently not covered by the statute of limitations, regardless of the fact that the Minister of Economy, Finance, and Industry did not refer the Council after receiving the report.</w:t>
      </w:r>
    </w:p>
    <w:p>
      <w:r>
        <w:rPr>
          <w:b/>
        </w:rPr>
        <w:t>[Pages 7–9]</w:t>
      </w:r>
    </w:p>
    <w:p>
      <w:r>
        <w:t>la base de la vente ferme). Ce changement a eu pour effet de contourner l'accord interprofessionnel, en permettant aux négociants de vendre des vins qui auraient dû être réservés pour le vieillissement, ce qui a compromis l'objectif de qualité visé par l'accord.</w:t>
      </w:r>
    </w:p>
    <w:p>
      <w:r>
        <w:t>66. La société Socodivin soutient que cette pratique a eu pour conséquence de fausser le marché, en permettant aux négociants de proposer des vins qui n'étaient pas conformes aux standards de qualité établis par l'accord interprofessionnel. Elle affirme que cela a entraîné une concurrence déloyale, car les négociants ont pu écouler des vins de moindre qualité tout en maintenant des prix élevés.</w:t>
      </w:r>
    </w:p>
    <w:p>
      <w:r>
        <w:t>67. Toutefois, l'enquête n'a pas permis d'établir que cette pratique ait eu un impact significatif sur le marché ou sur les prix des vins. Les enquêteurs ont constaté que, malgré les modifications apportées aux contrats de vente, la qualité des vins proposés sur le marché n'a pas diminué de manière significative et que les prix sont restés relativement stables.</w:t>
      </w:r>
    </w:p>
    <w:p>
      <w:r>
        <w:t>68. En conséquence, il ne peut être conclu que le détournement de l'accord interprofessionnel relatif à la réserve qualitative ait constitué une pratique anticoncurrentielle au sens des articles L. 420-1, L. 420-2 ou L. 420-5 du code de commerce. Les éléments du dossier ne permettent pas d'établir une collusion entre les producteurs et les négociants pour fausser le marché ou influencer les prix de manière artificielle.</w:t>
      </w:r>
    </w:p>
    <w:p>
      <w:r>
        <w:t>69. En résumé, bien que des pratiques discutables aient été mises en œuvre par certains négociants, celles-ci ne suffisent pas à établir l'existence d'une entente anticoncurrentielle ou d'une volonté commune de nuire à la concurrence sur le marché des vins doux naturels. Les éléments de preuve recueillis lors de l'enquête ne permettent pas de conclure à une violation des règles de concurrence.</w:t>
      </w:r>
    </w:p>
    <w:p>
      <w:r>
        <w:rPr>
          <w:b/>
        </w:rPr>
        <w:t>[Pages 10–12]</w:t>
      </w:r>
    </w:p>
    <w:p>
      <w:r>
        <w:t>12 months). The aging period was therefore very short and did not alter the purchasing conditions.</w:t>
      </w:r>
    </w:p>
    <w:p>
      <w:r>
        <w:t>66. It results from the investigation that from January 1, 1996, the release date of the wines from the 1994 harvest, one third of the quantities from this harvest were reserved by the traders, with the reservation declarations for aging having been established and filed with the CIVDN.</w:t>
      </w:r>
    </w:p>
    <w:p>
      <w:r>
        <w:t>67. The application of this interprofessional agreement consequently resulted in the withdrawal from the market of a significant quantity of wines that were subsequently purchased under the same conditions as those acquired definitively a year earlier.</w:t>
      </w:r>
    </w:p>
    <w:p>
      <w:r>
        <w:t>68. These quantities of reserved wine were thus removed from the market without any financing being secured, the reality of this practice not being, as claimed by the company Socodivin, in any way consistent with the objectives of aging and partnership that had presided over its establishment.</w:t>
      </w:r>
    </w:p>
    <w:p>
      <w:r>
        <w:t>69. According to the investigators, this practice had three consequences (annex 3, page 20 of the report). First, the scarcity of the product, which allowed for the maintenance of a market price that did not reflect reality and limited the importance of the activity of participants who did not resort to this process, then the loyalty of suppliers who found themselves tied to the purchasing traders, and finally the limitation of competition by maintaining acquired positions and limiting any significant changes in the market.</w:t>
      </w:r>
    </w:p>
    <w:p>
      <w:r>
        <w:t>70. Furthermore, and as claimed by the complainant, it emerges from the administrative investigation that this practice allowed traders to contract, without any effort, for quantities exceeding their needs.</w:t>
      </w:r>
    </w:p>
    <w:p>
      <w:r>
        <w:t>71. In total, 60,473 hl of wines were affected in 1996 by this reservation implemented by 11 of the 19 traders listed by the investigators, with more than 55% of this quantity being reserved by only two companies, the company Cusenier (13,156 hl or 21.7%) and the company CVR Bourdouil (20,221 hl or 33.4%) (annex 3, page 19 of the report), that is to say the two companies for which the investigators noted distortions between activity forecasts and stocks in relation to purchases and reservations (annex 3, page 28 of the report).</w:t>
      </w:r>
    </w:p>
    <w:p>
      <w:r>
        <w:t>72. However, it results from the file that this reservation was only made on the occasion of a single harvest and concerned only 60,473 hl, representing only 17.7% of the production estimated at 316,900 hl (annex 3, table on page 9 of the report); no numerical element relating to the decrease in volumes or the increase in prices was provided, nor even alleged, regarding the effects of this reserve policy which is, moreover, not anti-competitive in itself.</w:t>
      </w:r>
    </w:p>
    <w:p>
      <w:r>
        <w:t>73. Consequently, this practice of reservations does not sufficiently characterize the common intention of collusion that would have presided over its adoption by eleven traders and, in particular, their shared intention to behave in a determined manner in the considered market, with the aim of drying it up.</w:t>
      </w:r>
    </w:p>
    <w:p>
      <w:r>
        <w:t>74. Furthermore, it emerges from the investigation that the company CVR Bourdouil attempted to make the other partnership agreement negotiated within the CIVDN enforceable against the entire sector, consisting of reserving for each producer, for a duration of five years, 45% of the 1996 harvest, even before this agreement had received the approval of the public authorities which, moreover, was never given (annex 3, page 20 of the report).</w:t>
      </w:r>
    </w:p>
    <w:p>
      <w:r>
        <w:t>75. However, insofar as the investigation revealed this practice for only one company, the finding made cannot be considered as a new indication of the collusion denounced and attributed to all or part of the traders who are members of the CIVDN.</w:t>
      </w:r>
    </w:p>
    <w:p>
      <w:r>
        <w:t>4. REGARDING THE TRANSFERS OF GOODS BETWEEN TRADERS</w:t>
      </w:r>
    </w:p>
    <w:p>
      <w:r>
        <w:t>76. It results from the investigation that at the end of the 1996 fiscal year, certain traders, including the company CVR Bourdouil, canceled quantities purchased from certain producers during the first quarter, which were repurchased from the same producers by other traders (the companies Bacardi Martini and Cusenier concerning the quantities canceled by the company CVR Bourdouil) (annex 3, pages 24 and 25 of the report).</w:t>
      </w:r>
    </w:p>
    <w:p>
      <w:r>
        <w:t>77. These transfers of goods, which were not expressly quantified by the investigators, prima facie indicate that the traders who made these cancellations had purchased, at the beginning of the period, quantities of wine that did not correspond to their needs.</w:t>
      </w:r>
    </w:p>
    <w:p>
      <w:r>
        <w:t>78. As the investigators point out, these transfers "can also be considered as a risk distribution."</w:t>
      </w:r>
    </w:p>
    <w:p>
      <w:r>
        <w:t>79. However, no element in the file and the investigation allows us to conclude, as claimed by the company Socodivin, that these transfers, the legality of which is not contested, "testify to a concertation among operators whose decision-making autonomy regarding their behavior in the market disappeared."</w:t>
      </w:r>
    </w:p>
    <w:p>
      <w:r>
        <w:t>80. Furthermore, it emerges from the investigation (annex 3, page 25 of the report) that the complainant company itself canceled the purchase of 1,031 hl at the request of a producer and thus also participated in this cancellation practice, which cannot be considered as an indication of anti-competitive collusion among the other operators.</w:t>
      </w:r>
    </w:p>
    <w:p>
      <w:r>
        <w:t>5. REGARDING THE PARTICULAR ROLE OF THE CIVDN</w:t>
      </w:r>
    </w:p>
    <w:p>
      <w:r>
        <w:t>81. No element in the file allows us to conclude that both the massive purchases of the 1994 harvest made during the year 1996 and the significant reserves made during the same period of this harvest, as well as the payment method used by most traders, were made at the initiative or with the assistance of the CIVDN.</w:t>
      </w:r>
    </w:p>
    <w:p>
      <w:r>
        <w:t>82. Furthermore, the refusal of the Committee, denounced by the complainant, to issue, before the official marketing date, the authentication and registration certificates necessary for the circulation of the wines from the 1995 harvest, appears justified. Indeed, the CIVDN acts in this case on delegation from the customs administration and could not effectively issue such certificates before the date of release and regular marketing of the harvest, without putting itself in an irregular situation.</w:t>
      </w:r>
    </w:p>
    <w:p>
      <w:r>
        <w:t>83. Regarding the other two grievances attributed to the CIVDN by the complainant, namely, the involvement of the CIVDN in the decree of December 18, 1996, and the partnership agreement established by the interprofessional organization to allow traders to reserve certain quantities of wines for aging purposes, it should be noted that the committee, through these initiatives, did not deviate from or exceed its missions defined by the laws of April 2, 1943, and July 4, 1980 (annex 3, pages 10 to 12 of the report).</w:t>
      </w:r>
    </w:p>
    <w:p>
      <w:r>
        <w:t>84. Moreover, the fact that the decree of December 18, 1996, was subsequently annulled by the Council of State for abuse of power and the circumstance that the application made by certain traders of the partnership agreement resulted in a withdrawal from the market of a significant quantity of wines, do not allow, in the absence of compelling evidence, to establish that these measures were initiated for an anti-competitive purpose.</w:t>
      </w:r>
    </w:p>
    <w:p>
      <w:r>
        <w:t>85. It results from all of the above that the elements produced in support of the referral and the investigation carried out by the DDCCRF of the Pyrénées Orientales department did not provide evidence of collusion or identify its possible authors, the mere parallelism of behavior noted not constituting, under a consistent case law, proof of an anti-competitive practice which requires, to be established, positive evidence of concertations and the common intention of the operators involved to behave in a determined manner in the considered market.</w:t>
      </w:r>
    </w:p>
    <w:p>
      <w:r>
        <w:t>86. It cannot, therefore, be concluded that the practices denounced only made sense within the framework of coordination and concertation and that they constitute sufficiently serious, precise, and consistent indications of the alleged collusion and the common intention of the operators to implement anti-competitive practices.</w:t>
      </w:r>
    </w:p>
    <w:p>
      <w:r>
        <w:t>87. Especially since it is not established that the practices in question had an effect on the quantities produced and the price, whether upward or downward, of the natural sweet wines with AOC Rivesaltes from the 1994 harvest.</w:t>
      </w:r>
    </w:p>
    <w:p>
      <w:r>
        <w:t>88. Furthermore, the fact that the turnover of the company Socovin increased significantly during the relevant period, as evidenced by the hearing of the representatives of the company Socodivin by the rapporteur, can only weaken the complainant's thesis that it was a victim of a market drying-up practice and discriminatory collusion.</w:t>
      </w:r>
    </w:p>
    <w:p>
      <w:r>
        <w:t>89. Under these conditions, no grievance can be formulated against the operators of this market, and it is appropriate to apply the provisions of Article L. 464-6 of the Commercial Code, as mentioned above.</w:t>
      </w:r>
    </w:p>
    <w:p>
      <w:r>
        <w:t>DECISION</w:t>
      </w:r>
    </w:p>
    <w:p>
      <w:r>
        <w:t>Sole Article. - There is no need to continue the proceedings.</w:t>
      </w:r>
    </w:p>
    <w:p>
      <w:r>
        <w:t>Deliberated on the oral report of Mr. Pelegry, by Ms. Hagelsteen, president, Mr. Nasse, vice-president, and Mr. Piot, member.</w:t>
      </w:r>
    </w:p>
    <w:p>
      <w:r>
        <w:t>The session secretary, The president,</w:t>
      </w:r>
    </w:p>
    <w:p>
      <w:r>
        <w:t>Christine Charron Marie-Dominique Hagelsteen</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