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https://www.autoritedelaconcurrence.fr/fr/decision/relative-des-pratiques-mises-en-oeuvre-sur-le-marche-francais-de-la-buprenorphine-haut</w:t>
      </w:r>
    </w:p>
    <w:p>
      <w:r>
        <w:t>Pages translated : 130</w:t>
      </w:r>
    </w:p>
    <w:p/>
    <w:p>
      <w:r>
        <w:rPr>
          <w:b/>
        </w:rPr>
        <w:t>[Pages 1–3]</w:t>
      </w:r>
    </w:p>
    <w:p>
      <w:r>
        <w:t xml:space="preserve">FRENCH REPUBLIC  </w:t>
        <w:br/>
        <w:t xml:space="preserve">Decision No. 13-D-21 of December 18, 2013  </w:t>
        <w:br/>
        <w:t xml:space="preserve">regarding practices implemented in the French market for high-dose buprenorphine marketed in pharmacies  </w:t>
        <w:br/>
        <w:t xml:space="preserve">The Competition Authority (section III);  </w:t>
        <w:br/>
        <w:t xml:space="preserve">Having regard to the letter, registered on November 15, 2006 under numbers 06/0084 F and 06/0085 M, by which Arrow Génériques referred to the Competition Council practices implemented by Schering Plough in the market for the marketing of high-dose buprenorphine in pharmacies;  </w:t>
        <w:br/>
        <w:t xml:space="preserve">Having regard to Articles 101 and 102 of the Treaty on the Functioning of the European Union;  </w:t>
        <w:br/>
        <w:t xml:space="preserve">Having regard to Book IV of the Commercial Code;  </w:t>
        <w:br/>
        <w:t xml:space="preserve">Having regard to the business secrecy decisions No. 07-DSA-132 of June 14, 2007; No. 12-DSA-148, No. 12-DSA-149, No. 12-DSA-150, No. 12-DSA-151 and No. 12-DSA-152 of April 5, 2012; No. 12-DSA-173 of April 26, 2012; No. 12-DSA-196 of May 16, 2012; No. 12-DSA-214 of June 19, 2012; No. 12-DSA-232 of July 11, 2012; No. 12-DSA-251 of July 11, 2012; No. 12-DSA-263 of August 3, 2012; No. 12-DSA-310 of September 10, 2012; No. 13-DSA-74 of February 26, 2013; No. 13-DSA-102 of March 20, 2013; No. 13-DSA-135 of April 22, 2013; No. 13-DSA-145 and No. 13-DSA-151 of May 6, 2013; No. 13-DSA-152 and No. 13-DSA-153 of May 7, 2013; and No. 13-DSA-246 of September 2, 2013;  </w:t>
        <w:br/>
        <w:t xml:space="preserve">Having regard to the declassification decisions No. 12-DECR-15 of July 17, 2012; No. 12-DEC-33 of July 24, 2012; No. 12-DEC-50 of September 20, 2012; No. 12-DEC-51 of November 2, 2012; No. 12-DEC-54 of November 6, 2012; No. 13-DECR-04 of February 6, 2013; No. 13-DEC-27 of April 25, 2013; No. 13-DEC-28 of April 26, 2013; and No. 13-DEC-31 of May 7, 2013;  </w:t>
        <w:br/>
        <w:t xml:space="preserve">Having regard to the minutes of February 14, 2013, in which Schering Plough stated that it did not contest the grievances that had been notified to it and requested the benefit of the provisions of III of Article L. 464-2 of the Commercial Code;  </w:t>
        <w:br/>
        <w:t xml:space="preserve">Having regard to the observations presented by Schering Plough, Financière MSD, Merck &amp; Co, Reckitt Benckiser Healthcare (UK) Ltd, Reckitt Benckiser plc, Arrow Génériques, and the Government Commissioner;  </w:t>
        <w:br/>
        <w:t xml:space="preserve">Having regard to the other documents in the file;  </w:t>
        <w:br/>
        <w:t xml:space="preserve">The rapporteur, the deputy general rapporteur, the Government Commissioner, and the representatives of Schering Plough, Financière MSD, Merck &amp; Co, Reckitt Benckiser Healthcare (UK) Ltd, Reckitt Benckiser plc, and Arrow Génériques heard during the session of the Competition Authority on October 1, 2013;  </w:t>
        <w:br/>
        <w:t>Adopts the following decision:</w:t>
      </w:r>
    </w:p>
    <w:p>
      <w:r>
        <w:t xml:space="preserve">SUMMARY  </w:t>
        <w:br/>
        <w:t xml:space="preserve">I. Findings .................................................................................. 10  </w:t>
        <w:br/>
        <w:t xml:space="preserve">A. INTRODUCTION ........................................................................................................................... 10  </w:t>
        <w:br/>
        <w:t xml:space="preserve">1. THE REFERRAL BY ARROW GÉNÉRIQUES .................................................................................. 10  </w:t>
        <w:br/>
        <w:t xml:space="preserve">2. THE PROCEDURE FOR CONSERVATORY MEASURES ............................................................. 10  </w:t>
        <w:br/>
        <w:t xml:space="preserve">B. THE RELEVANT SECTOR .......................................................................................................... 11  </w:t>
        <w:br/>
        <w:t xml:space="preserve">1. MARKET PLAYERS ................................................................................................. 11  </w:t>
        <w:br/>
        <w:t xml:space="preserve">a) Merck &amp; Co, Financière MSD and Schering-Plough ....................................... 11  </w:t>
        <w:br/>
        <w:t xml:space="preserve">Merck &amp; Co ......................................................................................................... 11  </w:t>
        <w:br/>
        <w:t xml:space="preserve">Financière MSD and Schering-Plough ................................................................ 11  </w:t>
        <w:br/>
        <w:t xml:space="preserve">b) Reckitt Benckiser Group, Reckitt Benckiser Healthcare and Reckitt  </w:t>
        <w:br/>
        <w:t xml:space="preserve">Benckiser Healthcare France ............................................................................... 11  </w:t>
        <w:br/>
        <w:t xml:space="preserve">Reckitt Benckiser Group .................................................................................... 11  </w:t>
        <w:br/>
        <w:t xml:space="preserve">Reckitt Benckiser Healthcare and Reckitt Benckiser Healthcare France .......... 11  </w:t>
        <w:br/>
        <w:t xml:space="preserve">c) Arrow Génériques ............................................................................................. 12  </w:t>
        <w:br/>
        <w:t xml:space="preserve">d) Other companies operating in the market ...................................................... 12  </w:t>
        <w:br/>
        <w:t xml:space="preserve">Depolabo ............................................................................................................. 12  </w:t>
        <w:br/>
        <w:t xml:space="preserve">Merck Génériques ............................................................................................... 12  </w:t>
        <w:br/>
        <w:t xml:space="preserve">2. THE PRODUCTS: SUBUTEX ® AND ITS GENERICS .............................................................. 12  </w:t>
        <w:br/>
        <w:t xml:space="preserve">a) Subutex® ............................................................................................................. 12  </w:t>
        <w:br/>
        <w:t xml:space="preserve">The product Subutex® and its prescription .......................................................... 12  </w:t>
        <w:br/>
        <w:t xml:space="preserve">The marketing authorization for Subutex® ....................................................... 13  </w:t>
        <w:br/>
        <w:t xml:space="preserve">The marketing of Subutex® .................................................................................. 13  </w:t>
        <w:br/>
        <w:t xml:space="preserve">The risks associated with the misuse of Subutex® ............................................ 14  </w:t>
        <w:br/>
        <w:t xml:space="preserve">From Subutex® to Suboxone®.............................................................................. 14  </w:t>
        <w:br/>
        <w:t xml:space="preserve">b) The generics of Subutex® .................................................................................. 15  </w:t>
        <w:br/>
        <w:t xml:space="preserve">The situation in France ....................................................................................... 15  </w:t>
        <w:br/>
        <w:t xml:space="preserve">The economic stakes of the generification of Subutex® ................................... 15  </w:t>
        <w:br/>
        <w:t xml:space="preserve">c) The sales conditions for Subutex® and its generics ........................................ 16  </w:t>
        <w:br/>
        <w:t>3. THE RULES APPLICABLE TO GENERIC MEDICINES ON THE FRENCH MARKET</w:t>
        <w:br/>
        <w:t xml:space="preserve">................................................................................................................................................. 17  </w:t>
        <w:br/>
        <w:t xml:space="preserve">a) Definition of a generic medicine ................................................................. 17  </w:t>
        <w:br/>
        <w:t xml:space="preserve">b) The stages of the generification of a medicine ............................................. 18  </w:t>
        <w:br/>
        <w:t xml:space="preserve">The use of clinical data and bioequivalence tests .............................................. 18  </w:t>
        <w:br/>
        <w:t xml:space="preserve">The marketing authorization procedure ................................................................ 19  </w:t>
        <w:br/>
        <w:t xml:space="preserve">The determination of the price .............................................................................. 19  </w:t>
        <w:br/>
        <w:t xml:space="preserve">The information of the holder of the reference product and the listing in the  </w:t>
        <w:br/>
        <w:t xml:space="preserve">generic directory ................................................................................................... 19  </w:t>
        <w:br/>
        <w:t>The consequences of the listing of a generic in the generic directory</w:t>
        <w:br/>
        <w:t xml:space="preserve">............................................................................................................................. 20  </w:t>
        <w:br/>
        <w:t>4. THE MARKETING CONDITIONS OF MEDICINES AT THE TIME OF THE FACTS</w:t>
        <w:br/>
        <w:t xml:space="preserve">OBSERVED ............................................................................................................................. 20  </w:t>
        <w:br/>
        <w:t xml:space="preserve">C. THE PRACTICES IDENTIFIED ..................................................................................................... 22  </w:t>
        <w:br/>
        <w:t xml:space="preserve">1. THE DIFFERENT STRATEGIES FORMULATED BY SCHERING-PLOUGH AND RECKITT  </w:t>
        <w:br/>
        <w:t xml:space="preserve">BENCKISER IN RESPONSE TO THE ARRIVAL OF A GENERIC ............................................................... 22  </w:t>
        <w:br/>
        <w:t xml:space="preserve">a) The initial strategies......................................................................................... 22  </w:t>
        <w:br/>
        <w:t xml:space="preserve">The meeting of April 30, 2004 ............................................................................. 22  </w:t>
        <w:br/>
        <w:t xml:space="preserve">The meeting of July 20, 2004 .............................................................................. 23  </w:t>
        <w:br/>
        <w:t xml:space="preserve">The meeting of September 24, 2004 ................................................................... 23  </w:t>
        <w:br/>
        <w:t xml:space="preserve">The report by Saatchi &amp; Saatchi of October 2004 ................................................ 23  </w:t>
        <w:br/>
        <w:t xml:space="preserve">The study by Smart Pharma of October 2004 ..................................................... 23  </w:t>
        <w:br/>
        <w:t>b) The preparatory meetings for the adoption of the "French plan against generics"</w:t>
        <w:br/>
        <w:t xml:space="preserve">......................................................................................................................................... 25  </w:t>
        <w:br/>
        <w:t xml:space="preserve">The meeting of July 20, 2005 .............................................................................. 25  </w:t>
        <w:br/>
        <w:t xml:space="preserve">The email exchanges before the scheduled meeting of October 20, 2005 ........ 26  </w:t>
        <w:br/>
        <w:t xml:space="preserve">The study by the firm A+A .................................................................................. 26  </w:t>
        <w:br/>
        <w:t xml:space="preserve">The performance optimization plan according to Schering-Plough ................... 26  </w:t>
        <w:br/>
        <w:t xml:space="preserve">Reckitt Benckiser's response to the performance optimization plan ................. 27  </w:t>
        <w:br/>
        <w:t xml:space="preserve">The comments from the parent company on the commercial action to be taken </w:t>
        <w:br/>
        <w:t xml:space="preserve">......................................................................................................................... 29  </w:t>
        <w:br/>
        <w:t xml:space="preserve">c) The joint action of Schering-Plough and Reckitt Benckiser with  </w:t>
        <w:br/>
        <w:t xml:space="preserve">AFSSAPS ............................................................................................................. 29  </w:t>
        <w:br/>
        <w:t xml:space="preserve">d) The development of the "French plan against generics" ................................ 29  </w:t>
        <w:br/>
        <w:t xml:space="preserve">The study by Smart Pharma of December 2005 .................................................. 29  </w:t>
        <w:br/>
        <w:t xml:space="preserve">The meeting of December 9, 2005: the plan in response to the imminent entry of  </w:t>
        <w:br/>
        <w:t xml:space="preserve">the generic ............................................................................................................. 30  </w:t>
        <w:br/>
        <w:t xml:space="preserve">The "PowerPoint" presented by Schering-Plough ............................................... 31  </w:t>
        <w:br/>
        <w:t xml:space="preserve">The minutes of the meeting by Reckitt Benckiser ............................................... 32  </w:t>
        <w:br/>
        <w:t xml:space="preserve">The minutes of the meeting by Schering-Plough ............................................... 32  </w:t>
        <w:br/>
        <w:t xml:space="preserve">The minutes of the meeting by Schering-Plough Corp. ...................................... 32  </w:t>
        <w:br/>
        <w:t xml:space="preserve">2. THE IMPLEMENTATION OF THE PLAN BY SCHERING-PLOUGH ................................................... 32  </w:t>
        <w:br/>
        <w:t xml:space="preserve">a) The authorization given by the parent company for the implementation of the plan ....... 32  </w:t>
        <w:br/>
        <w:t xml:space="preserve">b) The marketing conditions of Subutex® ............................................................ 34  </w:t>
        <w:br/>
        <w:t>The partnership with Depolabo ............................................................................ 34</w:t>
      </w:r>
    </w:p>
    <w:p>
      <w:r>
        <w:rPr>
          <w:b/>
        </w:rPr>
        <w:t>[Pages 4–6]</w:t>
      </w:r>
    </w:p>
    <w:p>
      <w:r>
        <w:t xml:space="preserve">The choice by Schering-Plough of Depolabo and the amendment to the contract of December 22, 2005 ............................................................................................ 34  </w:t>
        <w:br/>
        <w:t xml:space="preserve">The strategic orientation ................................................................................. 34  </w:t>
        <w:br/>
        <w:t xml:space="preserve">♦ The "three tiers" .......................................................................................... 34  </w:t>
        <w:br/>
        <w:t xml:space="preserve">♦ The identification of pharmacies ....................................................................... 34  </w:t>
        <w:br/>
        <w:t xml:space="preserve">The implementation of the commercial policy ................................................. 35  </w:t>
        <w:br/>
        <w:t xml:space="preserve">The granting of additional financial benefits .................................................. 35  </w:t>
        <w:br/>
        <w:t xml:space="preserve">The confirmation of these commercial advantages by the DGCCRF investigation ......................................................................................................................... 36  </w:t>
        <w:br/>
        <w:t xml:space="preserve">The justification of these discounts in light of the Dutreil law ............................. 37  </w:t>
        <w:br/>
        <w:t xml:space="preserve">The supporting documents submitted to the DGCCRF investigators ....................... 38  </w:t>
        <w:br/>
        <w:t xml:space="preserve">The duration of the discounts granted to pharmacists ........................................... 39  </w:t>
        <w:br/>
        <w:t xml:space="preserve">Payment deadlines ............................................................................................. 39  </w:t>
        <w:br/>
        <w:t xml:space="preserve">The discount for cash payment ......................................................................... 41  </w:t>
        <w:br/>
        <w:t xml:space="preserve">The results of the commercial policy ................................................................. 41  </w:t>
        <w:br/>
        <w:t xml:space="preserve">c) Schering-Plough's communication on Buprénorphine Arrow® .................. 42  </w:t>
        <w:br/>
        <w:t xml:space="preserve">The communication prior to the market launch of the generic ......................... 43  </w:t>
        <w:br/>
        <w:t xml:space="preserve">The statements of Schering-Plough ................................................................. 43  </w:t>
        <w:br/>
        <w:t xml:space="preserve">The dissemination of the discourse on misuse by Schering-Plough to health professionals .................................................................................... 43  </w:t>
        <w:br/>
        <w:t xml:space="preserve">♦ The press conference of February 15, 2006 ..................................................... 43  </w:t>
        <w:br/>
        <w:t xml:space="preserve">♦ The seminar in Cannes .................................................................................... 44  </w:t>
        <w:br/>
        <w:t xml:space="preserve">♦ The advice of a regional director to his delegates for their discourse to pharmacists .......................................................................................................... 45  </w:t>
        <w:br/>
        <w:t xml:space="preserve">♦ The question-and-answer session of February – March 2006 .......................... 45  </w:t>
        <w:br/>
        <w:t xml:space="preserve">The communication after the market launch of the generic ............................ 46  </w:t>
        <w:br/>
        <w:t xml:space="preserve">The development of the discourse on the presence of talc or silica in the generic ......................................................................................................... 47  </w:t>
        <w:br/>
        <w:t xml:space="preserve">The discourse addressed to pharmacists and doctors ........................................ 47  </w:t>
        <w:br/>
        <w:t xml:space="preserve">♦ The discourses to community pharmacists ......................................................... 47  </w:t>
        <w:br/>
        <w:t xml:space="preserve">♦ The discourse to doctors ................................................................................... 48  </w:t>
        <w:br/>
        <w:t xml:space="preserve">♦ The discourse relayed in medical forums ......................................................... 50  </w:t>
        <w:br/>
        <w:t xml:space="preserve">The commencement and cessation of the observed facts ................................... 51  </w:t>
        <w:br/>
        <w:t xml:space="preserve">d) The ex post evaluation of its strategy by Schering-Plough ............................ 51  </w:t>
        <w:br/>
        <w:t xml:space="preserve">D. REMINDER OF THE GRIEVANCES .................................................................................................................. 52  </w:t>
        <w:br/>
        <w:t>E. THE IMPLEMENTATION OF III OF ARTICLE L. 464-2 OF THE COMMERCIAL CODE ....... 53</w:t>
      </w:r>
    </w:p>
    <w:p>
      <w:r>
        <w:t xml:space="preserve">II. Discussion ..................................................................................... 54  </w:t>
        <w:br/>
        <w:t xml:space="preserve">A. ON THE REGULARITY OF THE PROCEDURE ......................................................................... 54  </w:t>
        <w:br/>
        <w:t xml:space="preserve">1. REGARDING THE PRESCRIPTION .......................................................................................... 54  </w:t>
        <w:br/>
        <w:t xml:space="preserve">a) The applicable law ............................................................................................ 54  </w:t>
        <w:br/>
        <w:t xml:space="preserve">b) Arguments of the parties ...................................................................................... 55  </w:t>
        <w:br/>
        <w:t xml:space="preserve">c) Assessment in the case at hand ............................................................................ 55  </w:t>
        <w:br/>
        <w:t xml:space="preserve">2. REGARDING THE DURATION OF THE PROCEDURE ................................................................. 56  </w:t>
        <w:br/>
        <w:t xml:space="preserve">a) The applicable law ............................................................................................ 56  </w:t>
        <w:br/>
        <w:t xml:space="preserve">b) Arguments of the parties ...................................................................................... 57  </w:t>
        <w:br/>
        <w:t xml:space="preserve">c) Assessment in the case at hand ............................................................................ 57  </w:t>
        <w:br/>
        <w:t>3. REGARDING THE VIOLATION OF THE PRESUMPTION OF INNOCENCE AND THE</w:t>
        <w:br/>
        <w:t xml:space="preserve">REVERSAL OF THE BURDEN OF PROOF .................................................................................. 58  </w:t>
        <w:br/>
        <w:t xml:space="preserve">a) The applicable law ............................................................................................ 58  </w:t>
        <w:br/>
        <w:t xml:space="preserve">b) Arguments of the parties ...................................................................................... 59  </w:t>
        <w:br/>
        <w:t xml:space="preserve">c) Assessment in the case at hand ............................................................................ 59  </w:t>
        <w:br/>
        <w:t xml:space="preserve">4. REGARDING THE PRINCIPLES OF IMPARTIALITY AND FAIRNESS ...................................... 59  </w:t>
        <w:br/>
        <w:t xml:space="preserve">5. REGARDING THE VIOLATION OF THE RIGHTS OF THE DEFENSE ........................................ 60  </w:t>
        <w:br/>
        <w:t xml:space="preserve">a) On the absence of certain documents ..................................................................... 60  </w:t>
        <w:br/>
        <w:t xml:space="preserve">b) On the classification of numerous documents ......................................................... 61  </w:t>
        <w:br/>
        <w:t xml:space="preserve">c) On the late access to new elements of the file .................................................... 62  </w:t>
        <w:br/>
        <w:t xml:space="preserve">B. ON THE APPLICABILITY OF UNION COMPETITION RULES .................................................. 62  </w:t>
        <w:br/>
        <w:t xml:space="preserve">1. THE APPLICABLE PRINCIPLES ............................................................................................ 62  </w:t>
        <w:br/>
        <w:t xml:space="preserve">2. ASSESSMENT IN THE CASE AT HAND .................................................................................. 64  </w:t>
        <w:br/>
        <w:t xml:space="preserve">C. ON THE MERITS OF THE GRIEVANCES .................................................................................. 64  </w:t>
        <w:br/>
        <w:t xml:space="preserve">1. ON THE CONSEQUENCES OF THE IMPLEMENTATION OF III OF ARTICLE L. 464-2 OF THE COMMERCIAL CODE ........................................................................................................................ 65  </w:t>
        <w:br/>
        <w:t xml:space="preserve">2. ON THE MARKET IN QUESTION AND THE POSITION OF SCHERING-PLOUGH THEREIN . 65  </w:t>
        <w:br/>
        <w:t xml:space="preserve">a) On the definition of the relevant market ............................................................. 66  </w:t>
        <w:br/>
        <w:t xml:space="preserve">On the market for products .................................................................................. 66  </w:t>
        <w:br/>
        <w:t xml:space="preserve">On the distinction between the city market and the hospital market ............. 67  </w:t>
        <w:br/>
        <w:t xml:space="preserve">On the geographical dimension of the market ....................................................... 68  </w:t>
        <w:br/>
        <w:t xml:space="preserve">b) On the position of Schering-Plough in the relevant market ........................ 68  </w:t>
        <w:br/>
        <w:t xml:space="preserve">The applicable principles .................................................................................... 68  </w:t>
        <w:br/>
        <w:t xml:space="preserve">Assessment in the case at hand ............................................................................. 69  </w:t>
        <w:br/>
        <w:t>Conclusion on the dominant position of Schering-Plough in the market in question .................................................................................................................... 69</w:t>
      </w:r>
    </w:p>
    <w:p>
      <w:r>
        <w:t xml:space="preserve">3. ON GRIEVANCES NO. 1 AND NO. 2 OF ABUSE OF DOMINANT POSITION NOTIFIED TO SCHERING-PLOUGH .................................................................................................................................. 70  </w:t>
        <w:br/>
        <w:t xml:space="preserve">On the practice of denigration (grievance no. 1) .................................................. 70  </w:t>
        <w:br/>
        <w:t xml:space="preserve">Preliminary observations ................................................................................... 70  </w:t>
        <w:br/>
        <w:t xml:space="preserve">A practice of denigration may constitute an abuse of dominant position .......... 71  </w:t>
        <w:br/>
        <w:t xml:space="preserve">On the standard of proof .................................................................................... 72  </w:t>
        <w:br/>
        <w:t xml:space="preserve">On the transmission of manifestly erroneous or unverified information aimed at discrediting the competing Arrow generic of Subutex .......................... 73  </w:t>
        <w:br/>
        <w:t xml:space="preserve">♦ On the establishment of a global and structured communication by Schering-Plough ................................................................................................................... 73  </w:t>
        <w:br/>
        <w:t xml:space="preserve">♦ On the content of the discourse delivered by Schering-Plough .......................... 73  </w:t>
        <w:br/>
        <w:t xml:space="preserve">♦ On the encouragement of non-substitution ......................................................... 74  </w:t>
        <w:br/>
        <w:t xml:space="preserve">♦ On the absence of medical or scientific justifications ....................................... 74  </w:t>
        <w:br/>
        <w:t xml:space="preserve">On the proven effects of the practice implemented by Schering-Plough on health professionals ................................................................................ 75  </w:t>
        <w:br/>
        <w:t xml:space="preserve">On the effects of the practice implemented by Schering-Plough on the BHD market ........................................................................................................ 75  </w:t>
        <w:br/>
        <w:t xml:space="preserve">On the link between the denigrating discourse and the dominant position of Schering-Plough .......................................................................................... 76  </w:t>
        <w:br/>
        <w:t xml:space="preserve">On the duration of the practice .......................................................................... 77  </w:t>
        <w:br/>
        <w:t xml:space="preserve">Conclusion on the denigration practice implemented by Schering-Plough ...................................................................................................................... 77  </w:t>
        <w:br/>
        <w:t xml:space="preserve">On the commercial practices (grievance no. 2) .................................................. 77  </w:t>
        <w:br/>
        <w:t xml:space="preserve">Reminder of the principles ................................................................................ 77  </w:t>
        <w:br/>
        <w:t xml:space="preserve">Assessment in the case at hand .......................................................................... 78  </w:t>
        <w:br/>
        <w:t xml:space="preserve">On the duration of the practices ......................................................................... 79  </w:t>
        <w:br/>
        <w:t xml:space="preserve">Conclusion on the commercial practices implemented by Schering-Plough ...................................................................................................................... 79  </w:t>
        <w:br/>
        <w:t xml:space="preserve">4. ON THE GRIEVANCE OF COLLUSION NOTIFIED TO SCHERING-PLOUGH AND RECKITT BENCKISER ...... 79  </w:t>
        <w:br/>
        <w:t xml:space="preserve">a) On the existence of an agreement of wills .......................................................... 79  </w:t>
        <w:br/>
        <w:t xml:space="preserve">Preliminary observations ...................................................................................... 79  </w:t>
        <w:br/>
        <w:t xml:space="preserve">Reminder of the principles ................................................................................... 80  </w:t>
        <w:br/>
        <w:t xml:space="preserve">Arguments of the parties .......................................................................................... 81  </w:t>
        <w:br/>
        <w:t xml:space="preserve">Assessment in the case at hand ............................................................................. 82  </w:t>
        <w:br/>
        <w:t xml:space="preserve">Concurrence of wills .......................................................................................... 82  </w:t>
        <w:br/>
        <w:t xml:space="preserve">Object of the concurrence of wills ....................................................................... 83  </w:t>
        <w:br/>
        <w:t>Response to the arguments of the parties ............................................................ 83</w:t>
      </w:r>
    </w:p>
    <w:p>
      <w:r>
        <w:rPr>
          <w:b/>
        </w:rPr>
        <w:t>[Pages 7–9]</w:t>
      </w:r>
    </w:p>
    <w:p>
      <w:r>
        <w:t xml:space="preserve">b) On the anti-competitive object of the practices .................................................... 85  </w:t>
        <w:br/>
        <w:t xml:space="preserve">On disparagement .............................................................................................. 85  </w:t>
        <w:br/>
        <w:t xml:space="preserve">Reminder of principles ...................................................................................... 85  </w:t>
        <w:br/>
        <w:t xml:space="preserve">Arguments of the parties .................................................................................... 86  </w:t>
        <w:br/>
        <w:t xml:space="preserve">Assessment in the case at hand ......................................................................... 86  </w:t>
        <w:br/>
        <w:t xml:space="preserve">On commercial practices .................................................................................... 87  </w:t>
        <w:br/>
        <w:t xml:space="preserve">D. ON THE ATTRIBUTION OF THE PRACTICES IN QUESTION ................................................. 88  </w:t>
        <w:br/>
        <w:t xml:space="preserve">1. REMINDER OF PRINCIPLES ............................................................................................ 88  </w:t>
        <w:br/>
        <w:t xml:space="preserve">a) Attribution within a group of companies ........................................................ 88  </w:t>
        <w:br/>
        <w:t xml:space="preserve">b) Attribution in the event of restructurings, transfers, mergers, or others .... 90  </w:t>
        <w:br/>
        <w:t xml:space="preserve">2. ARGUMENTS OF THE PARTIES ....................................................................................... 90  </w:t>
        <w:br/>
        <w:t xml:space="preserve">3. ASSESSMENT IN THE CASE AT HAND ........................................................................... 91  </w:t>
        <w:br/>
        <w:t xml:space="preserve">a) On the attribution of the practices of Schering-Plough .................................. 91  </w:t>
        <w:br/>
        <w:t xml:space="preserve">On the evolution of the structure of the Schering-Plough group .................... 91  </w:t>
        <w:br/>
        <w:t xml:space="preserve">On the attribution of the behavior of Schering-Plough .................................... 91  </w:t>
        <w:br/>
        <w:t xml:space="preserve">On the attribution of the behavior of Merck &amp; Co ........................................... 92  </w:t>
        <w:br/>
        <w:t xml:space="preserve">b) On the attribution of the practices of Reckitt Benckiser ............................... 92  </w:t>
        <w:br/>
        <w:t xml:space="preserve">On the evolution of the structure of the Reckitt Benckiser group ................... 92  </w:t>
        <w:br/>
        <w:t xml:space="preserve">On the attribution of the behavior of Reckitt Benckiser ................................... 92  </w:t>
        <w:br/>
        <w:t xml:space="preserve">E. ON SANCTIONS .................................................................................................................. 93  </w:t>
        <w:br/>
        <w:t xml:space="preserve">1. ON SANCTIONS IMPOSED FOR ABUSE OF DOMINANT POSITION (GRIEVANCES NO. 1 AND 2) ... 93  </w:t>
        <w:br/>
        <w:t xml:space="preserve">a) Regarding the value of sales .......................................................................... 94  </w:t>
        <w:br/>
        <w:t xml:space="preserve">Method retained by the Authority .................................................................... 94  </w:t>
        <w:br/>
        <w:t xml:space="preserve">Arguments of the parties and response of the Authority .................................. 95  </w:t>
        <w:br/>
        <w:t xml:space="preserve">b) Regarding the determination of the base amount ......................................... 95  </w:t>
        <w:br/>
        <w:t xml:space="preserve">Concerning the severity of the facts .................................................................. 96  </w:t>
        <w:br/>
        <w:t xml:space="preserve">Concerning the damage to the economy ............................................................ 97  </w:t>
        <w:br/>
        <w:t xml:space="preserve">Arguments of the parties ................................................................................... 97  </w:t>
        <w:br/>
        <w:t xml:space="preserve">Assessment in the case at hand ....................................................................... 98  </w:t>
        <w:br/>
        <w:t xml:space="preserve">♦ On the estimation of the penetration rate and comparison with other molecules ... 98  </w:t>
        <w:br/>
        <w:t xml:space="preserve">On the comparison with the average substitution rate in France and Europe .... 98  </w:t>
        <w:br/>
        <w:t xml:space="preserve">On the comparison with the generification rate of Prozac® and Deroxat® ....... 99  </w:t>
        <w:br/>
        <w:t xml:space="preserve">On the comparison between the dosages of the generic Subutex® .................. 99  </w:t>
        <w:br/>
        <w:t xml:space="preserve">On the comparisons made by Schering-Plough ............................................... 100  </w:t>
        <w:br/>
        <w:t xml:space="preserve">♦ On the alleged attachment of patients to Subutex® ......................................... 101  </w:t>
        <w:br/>
        <w:t xml:space="preserve">♦ On the low number of generic manufacturers .................................................. 102  </w:t>
        <w:br/>
        <w:t xml:space="preserve">♦ On the size and commercial policy of Arrow .................................................. 103  </w:t>
        <w:br/>
        <w:t xml:space="preserve">♦ On the extent of the practices and the estimation of damage by Schering-Plough ... 104  </w:t>
        <w:br/>
        <w:t xml:space="preserve">Assessment by the Authority of the damage to the economy ........................ 107  </w:t>
        <w:br/>
        <w:t xml:space="preserve">♦ On the extent of the practices ......................................................................... 107  </w:t>
        <w:br/>
        <w:t xml:space="preserve">♦ On the economic characteristics of the sector ................................................ 108  </w:t>
        <w:br/>
        <w:t xml:space="preserve">♦ On the conjunctural and structural consequences of the practices ................. 108  </w:t>
        <w:br/>
        <w:t xml:space="preserve">Comparison with the dosage of 0.4 mg ............................................................ 108  </w:t>
        <w:br/>
        <w:t xml:space="preserve">Comparison with Schering-Plough's own forecasts ......................................... 109  </w:t>
        <w:br/>
        <w:t xml:space="preserve">Comparison with molecules in class N with 11 molecules ............................ 110  </w:t>
        <w:br/>
        <w:t xml:space="preserve">Conclusion on the significance of the damage to the economy ...................... 112  </w:t>
        <w:br/>
        <w:t xml:space="preserve">Conclusion on the determination of the base amount ....................................... 112  </w:t>
        <w:br/>
        <w:t xml:space="preserve">Regarding the duration of participation ............................................................. 112  </w:t>
        <w:br/>
        <w:t xml:space="preserve">c) Regarding the individual situation .................................................................. 112  </w:t>
        <w:br/>
        <w:t xml:space="preserve">On the economic power of Schering-Plough and the group to which it belongs ... 112  </w:t>
        <w:br/>
        <w:t xml:space="preserve">On the verification of the applicable maximum ................................................ 113  </w:t>
        <w:br/>
        <w:t xml:space="preserve">d) Regarding the non-contestation of grievances ............................................... 113  </w:t>
        <w:br/>
        <w:t xml:space="preserve">2. ON SANCTIONS IMPOSED FOR THE AGREEMENT (GRIEVANCE NO. 3) ......................... 115  </w:t>
        <w:br/>
        <w:t xml:space="preserve">a) Regarding the value of sales .......................................................................... 115  </w:t>
        <w:br/>
        <w:t xml:space="preserve">Method retained by the Authority .................................................................... 115  </w:t>
        <w:br/>
        <w:t xml:space="preserve">Determination of the amount of the value of sales ............................................ 115  </w:t>
        <w:br/>
        <w:t xml:space="preserve">b) Regarding the determination of the base amount ......................................... 116  </w:t>
        <w:br/>
        <w:t xml:space="preserve">Concerning the severity of the facts .................................................................. 116  </w:t>
        <w:br/>
        <w:t xml:space="preserve">Concerning the damage to the economy ............................................................ 116  </w:t>
        <w:br/>
        <w:t xml:space="preserve">Conclusion on the determination of the base amount ....................................... 117  </w:t>
        <w:br/>
        <w:t xml:space="preserve">Regarding the duration of participation ............................................................. 117  </w:t>
        <w:br/>
        <w:t xml:space="preserve">c) Regarding the individual situation .................................................................. 117  </w:t>
        <w:br/>
        <w:t xml:space="preserve">On the economic power of the parties and the groups to which they belong ... 117  </w:t>
        <w:br/>
        <w:t xml:space="preserve">On the verification of the applicable legal maximum ....................................... 118  </w:t>
        <w:br/>
        <w:t xml:space="preserve">d) Regarding the non-contestation of grievances ............................................... 118  </w:t>
        <w:br/>
        <w:t>F. ON THE OBLIGATION TO PUBLISH ................................................................................ 118</w:t>
      </w:r>
    </w:p>
    <w:p>
      <w:r>
        <w:rPr>
          <w:b/>
        </w:rPr>
        <w:t>[Pages 10–12]</w:t>
      </w:r>
    </w:p>
    <w:p>
      <w:r>
        <w:t xml:space="preserve">I. Findings  </w:t>
        <w:br/>
        <w:t xml:space="preserve">A. INTRODUCTION  </w:t>
        <w:br/>
        <w:t xml:space="preserve">1. By letter dated November 13, 2006, registered under numbers 06/0084 F and 06/0085 M, the Competition Council, which has become the Competition Authority (hereinafter "the Authority"), was seized of a complaint from the company Arrow Génériques (hereinafter "Arrow") concerning practices implemented by the company Schering-Plough in the pharmaceutical sector. According to the complainant, Schering-Plough would be abusing its dominant position in the French retail market for high-dose buprenorphine (hereinafter "BHD"), a market in which it markets its reference drug Subutex®, by excluding the generic marketed by Arrow, Buprénorphine Arrow®.  </w:t>
        <w:br/>
        <w:t xml:space="preserve">1. THE SEIZURE BY ARROW GÉNÉRIQUES  </w:t>
        <w:br/>
        <w:t xml:space="preserve">2. In its submission, Arrow essentially argued that Schering-Plough had implemented an exclusionary strategy against its product, Buprénorphine Arrow®. To this end, Schering-Plough would have, on the one hand, adopted a policy of loyalty towards prescribing physicians and pharmacists by establishing exclusive ties with them and, on the other hand, disparaged Buprénorphine Arrow® to these same actors.  </w:t>
        <w:br/>
        <w:t xml:space="preserve">2. THE CONSERVATORY MEASURES PROCEDURE  </w:t>
        <w:br/>
        <w:t xml:space="preserve">3. By letter registered on April 19, 2007, Arrow also requested the Authority to issue conservatory measures.  </w:t>
        <w:br/>
        <w:t xml:space="preserve">4. By its decision No. 07-MC-06 of December 11, 2007, concerning a request for conservatory measures submitted by Arrow Génériques, the Authority granted this request by ordering Schering-Plough to publish a statement essentially reminding that Buprénorphine Arrow® was substitutable, without risk to the patient's health, for Subutex®.  </w:t>
        <w:br/>
        <w:t>5. This decision, contested by Schering-Plough, was upheld by the Paris Court of Appeal (judgment of February 5, 2008, No. 2007/21 342) whose ruling was subject to a rejected appeal (judgment of January 13, 2009, No. 08-12510).</w:t>
      </w:r>
    </w:p>
    <w:p>
      <w:r>
        <w:t xml:space="preserve">B. THE RELEVANT SECTOR  </w:t>
        <w:br/>
        <w:t xml:space="preserve">1. MARKET PLAYERS  </w:t>
        <w:br/>
        <w:t xml:space="preserve">a) Merck &amp; Co, Financière MSD and Schering-Plough  </w:t>
        <w:br/>
        <w:t xml:space="preserve">Merck &amp; Co  </w:t>
        <w:br/>
        <w:t xml:space="preserve">6. Merck &amp; Co, a company under American law, resulted from the merger in 2009 between Schering-Plough Corp. and Merck &amp; Co, which develops and markets pharmaceutical products and vaccines. It achieved a consolidated revenue of approximately 33 billion euros in 2010 and ranks 3rd globally among pharmaceutical companies by revenue.  </w:t>
        <w:br/>
        <w:t xml:space="preserve">Financière MSD and Schering-Plough  </w:t>
        <w:br/>
        <w:t xml:space="preserve">7. Schering-Plough Holdings France, which became Financière MSD on June 1, 2011, is a company belonging to the Merck &amp; Co group. At the time of the established facts, Schering-Plough Holdings France directly controlled Schering-Plough.  </w:t>
        <w:br/>
        <w:t xml:space="preserve">8. On July 1, 2011, Schering-Plough partially transferred assets to the company Unicet, which became MSD France. To date, Schering-Plough's activities are primarily research and development on one hand, and the manufacturing and packaging of human and veterinary pharmaceutical drugs on the other. MSD France, for its part, carries out sales and marketing activities.  </w:t>
        <w:br/>
        <w:t xml:space="preserve">9. In 2010, Schering-Plough's revenue amounted to 836 million euros. It was only 217 million euros after the asset transfer for the year 2011. In contrast, MSD France saw its revenue rise from 2,000 euros in 2010 to 1.6 billion euros in 2011.  </w:t>
        <w:br/>
        <w:t xml:space="preserve">b) Reckitt Benckiser Group, Reckitt Benckiser Healthcare and Reckitt Benckiser Healthcare France  </w:t>
        <w:br/>
        <w:t xml:space="preserve">Reckitt Benckiser Group  </w:t>
        <w:br/>
        <w:t xml:space="preserve">10. Reckitt Benckiser Group is a British company that manufactures and distributes cleaning and personal hygiene products, on one hand, and over-the-counter medications, on the other. On October 23, 2007, the newly formed Reckitt Benckiser Group took 100% control of Reckitt Benckiser plc, formerly Reckitt &amp; Coleman plc, which was founded in 1953. Reckitt Benckiser Group achieved global revenue of approximately 6.4 billion euros in 2007 and around 7.5 billion euros in 2010.  </w:t>
        <w:br/>
        <w:t xml:space="preserve">Reckitt Benckiser Healthcare and Reckitt Benckiser Healthcare France  </w:t>
        <w:br/>
        <w:t xml:space="preserve">11. Reckitt Benckiser Healthcare (hereinafter "Reckitt Benckiser") is a British company active in the sector of over-the-counter pharmaceuticals. As of January 1, 2012, it was indirectly controlled by Reckitt Benckiser Group.  </w:t>
        <w:br/>
        <w:t>12. The revenue generated in 2010 by Reckitt Benckiser from buprenorphine activity was approximately 45.11 million euros in France and about 121 million euros worldwide.</w:t>
      </w:r>
    </w:p>
    <w:p>
      <w:r>
        <w:t xml:space="preserve">13. Reckitt Benckiser Healthcare France was established in 2006. Since July 2010, this company has been responsible for the distribution of Subutex® in France.  </w:t>
        <w:br/>
        <w:t xml:space="preserve">c) Arrow Génériques  </w:t>
        <w:br/>
        <w:t xml:space="preserve">14. The Arrow group specializes in the production and marketing of generic drugs. In 2005, the group's revenue was approximately 350 million euros.  </w:t>
        <w:br/>
        <w:t xml:space="preserve">15. Established in 2001, Arrow, the French subsidiary of the group, markets 169 generics across 11 therapeutic areas. In the French generic drug sector, it holds a 2.3% market share. In 2005, its revenue was 40 million euros (references 4200 and following). According to the French Health Products Safety Agency (hereinafter "AFSSAPS", now the National Agency for the Safety of Medicines and Health Products, hereinafter "ANSM"), Arrow generated revenue of 4 million euros in 2006 with Buprénorphine Arrow®.  </w:t>
        <w:br/>
        <w:t xml:space="preserve">d) Other companies operating in the market  </w:t>
        <w:br/>
        <w:t xml:space="preserve">Depolabo  </w:t>
        <w:br/>
        <w:t xml:space="preserve">16. Depolabo is a wholesaler that provides logistics and distribution services on behalf of pharmaceutical laboratories. Depolabo has a department called "Distriphar" which employs about fifty staff, including 34 pharmaceutical representatives who visit pharmacists, and 12 pharmacy correspondents who follow up with the representatives' clients by phone. Since November 2010, Depolabo has changed its name to "Alloga France".  </w:t>
        <w:br/>
        <w:t xml:space="preserve">17. In the last quarter of 2005, Schering-Plough contacted Depolabo to entrust it with the management of the direct marketing of Subutex® to pharmacies.  </w:t>
        <w:br/>
        <w:t xml:space="preserve">Merck Génériques  </w:t>
        <w:br/>
        <w:t xml:space="preserve">18. Specializing in the marketing of generic drugs, Merck Génériques was acquired in 2007 by the Mylan group. As a result, Merck Génériques became Mylan SAS. In 2010, the revenue generated in France by Mylan SAS was approximately 797 million euros.  </w:t>
        <w:br/>
        <w:t xml:space="preserve">19. Qualimed, a subsidiary of Mylan SAS, also markets generic drugs. This subsidiary generated revenue in France of nearly 46 million euros in 2009, of which 10.8 million euros was from BHD. In pharmacies, Mylan-Merck covers, according to its own estimates, 80% of the directory of drugs that can be substituted by the pharmacist.  </w:t>
        <w:br/>
        <w:t xml:space="preserve">2. THE PRODUCTS: SUBUTEX® AND ITS GENERICS  </w:t>
        <w:br/>
        <w:t xml:space="preserve">a) Subutex®  </w:t>
        <w:br/>
        <w:t xml:space="preserve">The product Subutex® and its prescription  </w:t>
        <w:br/>
        <w:t>20. Subutex® is a medication with the active substance – also called "active ingredient" – buprenorphine high dosage. This active substance allows for the treatment of opioid dependence, particularly heroin addiction. Buprenorphine is indeed...</w:t>
      </w:r>
    </w:p>
    <w:p>
      <w:r>
        <w:rPr>
          <w:b/>
        </w:rPr>
        <w:t>[Pages 13–15]</w:t>
      </w:r>
    </w:p>
    <w:p>
      <w:r>
        <w:t>Subutex® and its prescription</w:t>
      </w:r>
    </w:p>
    <w:p>
      <w:r>
        <w:t>20. Subutex® is a medication with the active substance – also called "active principle" – high-dose buprenorphine. This active substance allows for the treatment of opioid dependence, particularly heroin. Buprenorphine is indeed a molecule that has an action similar to heroin without presenting its disadvantages such as "withdrawal effects."</w:t>
      </w:r>
    </w:p>
    <w:p>
      <w:r>
        <w:t>21. BHD constitutes a psychotropic substance, which is not classified in France among narcotics, unlike methadone. However, the first dispensing can only be done on medical prescription, for a treatment limited to 28 days, with a maximum daily dose of 16 mg. Since 2008, the prescriber must indicate on the prescription the name of the pharmacy chosen by the patient to ensure dispensing, and it is recommended that the doctor contact the pharmacist to ensure the patient's care.</w:t>
      </w:r>
    </w:p>
    <w:p>
      <w:r>
        <w:t>22. In France, the vast majority of prescriptions are made by general practitioners. However, the prescription and dispensing of buprenorphine are the responsibility of a limited number of professionals, both doctors and pharmacists. Thus, a study conducted by Inserm in 2002 indicates that, while 37.5% of general practitioners have prescribed buprenorphine at least once during the considered period, 26% of prescribers accounted for 75% of patients. Another study conducted by Saatchi &amp; Saatchi Healthcare in 2005 indicates that the prescribing doctors of Subutex® would be only 16,000, out of a total population of 215,000 doctors, or 8% (reference 6506). Similarly, 22% of pharmacies account for 80% of sales (references 6491 to 6534).</w:t>
      </w:r>
    </w:p>
    <w:p>
      <w:r>
        <w:t>23. For the year 2006, the number of patients using BHD was estimated at 100,000.</w:t>
      </w:r>
    </w:p>
    <w:p>
      <w:r>
        <w:t>The marketing authorization of Subutex®</w:t>
      </w:r>
    </w:p>
    <w:p>
      <w:r>
        <w:t>24. On July 31, 1995, health authorities granted Schering-Plough a marketing authorization (hereinafter "MA") for the marketing of Subutex®. This medication comes in the form of sublingual tablets in three dosages: 0.4 mg, 2 mg, and 8 mg.</w:t>
      </w:r>
    </w:p>
    <w:p>
      <w:r>
        <w:t>25. In 2006, Schering-Plough sought to market Subutex® in the form of a fast-dissolving tablet (Subutex FDT® for Fast Dissolving Tablets), with the planned dosages being 8 mg and 16 mg. The French Health Products Safety Agency (hereinafter "AFSSAPS"), now the National Agency for the Safety of Medicines and Health Products (hereinafter "ANSM"), opposed this (reference 14372).</w:t>
      </w:r>
    </w:p>
    <w:p>
      <w:r>
        <w:t>The marketing of Subutex®</w:t>
      </w:r>
    </w:p>
    <w:p>
      <w:r>
        <w:t>26. An international licensing agreement concerning the marketing of Subutex® in France was concluded on June 6, 1997, between Reckitt Benckiser Group, the rights holder for this medication, and Schering-Plough Corp, through its Swiss subsidiary Essex Chemie AG (references 13064 and following).</w:t>
      </w:r>
    </w:p>
    <w:p>
      <w:r>
        <w:t>27. This agreement, which concerned all products based on BHD and covered both developments and improvements of existing products, stipulated that Reckitt Benckiser would manufacture BHD-based products, but that Schering-Plough would hold the MAs in France, would be responsible for marketing and promoting the products, and would distribute them exclusively in French territory.</w:t>
      </w:r>
    </w:p>
    <w:p>
      <w:r>
        <w:t>28. However, a clause of this agreement specified that the marketing managers of both companies had to meet at least once a year to agree on sales strategies. Schering-Plough was also required to provide an annual report on the sales of these products. The contract also stipulated that Reckitt Benckiser would deliver pre-packaged products, except for France where the product would be delivered in bulk, with packaging done by Schering-Plough. The latter was to pay Reckitt Benckiser 35% of its net sales revenue up to $100 million and 37% if this threshold was exceeded.</w:t>
      </w:r>
    </w:p>
    <w:p>
      <w:r>
        <w:t>29. An amendment to this agreement, signed on June 1, 2004, varied the commission amounts based on the product's destination. Thus, for analgesic forms, the commission remained at 35%, but for forms intended for addiction treatment, the commission increased to 38% up to $100 million and to 40% beyond this threshold (reference 18959).</w:t>
      </w:r>
    </w:p>
    <w:p>
      <w:r>
        <w:t>30. The agreement was terminated in July 2010. Reckitt Benckiser Healthcare France is now the distributor of Subutex® in France.</w:t>
      </w:r>
    </w:p>
    <w:p>
      <w:r>
        <w:t>The risks associated with the misuse of Subutex®</w:t>
      </w:r>
    </w:p>
    <w:p>
      <w:r>
        <w:t>31. While the use of BHD as a substitute treatment for opioids has reduced the number of heroin users, it does not prevent polyconsumption and is likely to lead to misuse by injection. Misuse by injection involves a drug addict injecting the product, after dilution, instead of swallowing it. This practice poses health risks.</w:t>
      </w:r>
    </w:p>
    <w:p>
      <w:r>
        <w:t>32. Indeed, according to the TREND report of June 2002, "[t]he injectable route is most often used by people with mixed supplies, the oral route by people using prescriptions, and snorting by people obtaining supplies outside of medical prescriptions (...) Most sites report an increase in the number of cases of swelling of the hands and forearms. This swelling is sometimes referred to as 'boxing glove' and sometimes 'Popeye syndrome.' (...) One explanation for these manifestations would be that the corn starch present in Subutex tablets would cause a blockage of small venous networks and lead to chronic inflammation of tissues and the lymphatic network. (...) These edemas would be extremely slow to resolve" (Emerging drug phenomena in 2001, reference 3939).</w:t>
      </w:r>
    </w:p>
    <w:p>
      <w:r>
        <w:t>33. A study by Inserm, conducted in 1997-1998, confirms in this regard that "the excipient of Subutex contains insoluble compounds, Polyvidone K30, magnesium stearate, and corn starch which thickens the solution in case of dilution" (references 17825 and following).</w:t>
      </w:r>
    </w:p>
    <w:p>
      <w:r>
        <w:t>34. Similarly, an article titled "Infectious complications induced by the misuse of high-dose buprenorphine (Subutex®): retrospective analysis of 42 observations," which lists infections related to the injection of Subutex®, and indicates that more than half of the patients present with skin abscesses, further notes, as the aforementioned Inserm study, that Subutex® tablets are "mostly insoluble" and that in cases of misuse, they "appear to be harmful to the vascular system in cases of repeated injections" (references 17588 and following). They would thus be one of the causes of the so-called "Popeye syndrome."</w:t>
      </w:r>
    </w:p>
    <w:p>
      <w:r>
        <w:t>From Subutex® to Suboxone®</w:t>
      </w:r>
    </w:p>
    <w:p>
      <w:r>
        <w:t>35. Suboxone® is a medication combining buprenorphine with naloxone. After receiving a European MA on September 26, 2006, and a French MA on November 7, 2006, Reckitt Benckiser has been marketing this medication in France since January 1, 2012. This medication, which helps prevent misuse by injection, is available in 2 or 8 mg.</w:t>
      </w:r>
    </w:p>
    <w:p>
      <w:r>
        <w:t>b) The generics of Subutex®</w:t>
      </w:r>
    </w:p>
    <w:p>
      <w:r>
        <w:t>The situation in France</w:t>
      </w:r>
    </w:p>
    <w:p>
      <w:r>
        <w:t>36. On January 31, 2006, AFSSAPS granted an MA to Arrow, which allowed, starting March 30, 2006, the marketing of BHD in sublingual tablets in three dosages: 0.4 mg, 2 mg, and 8 mg. The medication marketed by Arrow is produced and supplied by Ethypharm.</w:t>
      </w:r>
    </w:p>
    <w:p>
      <w:r>
        <w:t>37. In April 2007, Merck Génériques, now Mylan, also marketed a generic of Subutex®. The supply of this medication is carried out by Ethypharm.</w:t>
      </w:r>
    </w:p>
    <w:p>
      <w:r>
        <w:t>38. In 2010, laboratories Teva, Sandoz, and Biogaran also launched a generic of Subutex® in France.</w:t>
      </w:r>
    </w:p>
    <w:p>
      <w:r>
        <w:t>The economic stakes of the generification of Subutex®</w:t>
      </w:r>
    </w:p>
    <w:p>
      <w:r>
        <w:t>39. The sale of Subutex® represented in 2005 an amount of 90.8 million euros out of the 519.6 million euros generated by Schering-Plough in France in revenue, accounting for more than 17% of total revenue (reference 28843).</w:t>
      </w:r>
    </w:p>
    <w:p>
      <w:r>
        <w:t>40. Reckitt Benckiser, for its part, received an annual remuneration on the sales of Subutex® made in France by Schering-Plough of approximately 35 million euros.</w:t>
      </w:r>
    </w:p>
    <w:p>
      <w:r>
        <w:t>41. According to Health Insurance, the marketing of generics of Subutex® should have allowed Social Security to save 2.8 million euros in 2006 and then 7.4 million euros in 2007 (decision no. 07-MC-06, cited above, paragraph 154).</w:t>
      </w:r>
    </w:p>
    <w:p>
      <w:r>
        <w:t>42. In light of the data provided by AFSSAPS, it is possible to reconstruct the market share developments of the various players (references 3790 and following and 13,441 and following):</w:t>
      </w:r>
    </w:p>
    <w:p>
      <w:r>
        <w:rPr>
          <w:b/>
        </w:rPr>
        <w:t>[Pages 16–18]</w:t>
      </w:r>
    </w:p>
    <w:p>
      <w:r>
        <w:t>Source: Competition Authority based on data from ANSM</w:t>
      </w:r>
    </w:p>
    <w:p>
      <w:r>
        <w:t>c) The sales modalities of Subutex® and its generics</w:t>
      </w:r>
    </w:p>
    <w:p>
      <w:r>
        <w:t>43. Subutex® is part of reimbursable pharmaceutical products. Its selling price, including all taxes, in pharmacies was set by the Economic Committee for Health Products (hereinafter "CEPS") on a comparative basis, the modalities of which are defined by the framework agreement signed between the State and the pharmaceutical industry (see notably Article L. 162-16-4 of the Social Security Code). These modalities particularly depend on the improvement of the medical service rendered (hereinafter "ASMR") recognized for the product.</w:t>
      </w:r>
    </w:p>
    <w:p>
      <w:r>
        <w:t>44. The medical service rendered by Subutex® has been considered significant. The selling price of this product for the 8 mg dosage was set at 26.94 euros in 1996 and subsequently decreased.</w:t>
      </w:r>
    </w:p>
    <w:p>
      <w:r>
        <w:t>Evolution of the price in euros of Subutex® (8 mg) and its generic (box of 7 tablets)</w:t>
      </w:r>
    </w:p>
    <w:p>
      <w:r>
        <w:t>1996 1998 2001 1st July 1st April 2007 2011</w:t>
        <w:br/>
        <w:t>2005 2006</w:t>
        <w:br/>
        <w:t>Price 26.94 € 25.26 € 23.87 € 22.24 € 22.24 € 22.24 € 20.01 €</w:t>
        <w:br/>
        <w:t>originator</w:t>
        <w:br/>
        <w:t>Price - - - - 18.73 € 16.98 € 16.52 €</w:t>
        <w:br/>
        <w:t>generic</w:t>
      </w:r>
    </w:p>
    <w:p>
      <w:r>
        <w:t>Source: Competition Authority</w:t>
      </w:r>
    </w:p>
    <w:p>
      <w:r>
        <w:t>45. At the time of the facts, the selling price of Subutex® in pharmacies was 22.24 euros for the 8 mg dosage. The price of the generic, for its part, was set at 18.73 euros (see below).</w:t>
      </w:r>
    </w:p>
    <w:p>
      <w:r>
        <w:t>46. Like all pharmaceutical products, Subutex® and its generics are primarily sold in pharmacies. They are also administered in hospitals. The selling prices to hospital establishments are free.</w:t>
      </w:r>
    </w:p>
    <w:p>
      <w:r>
        <w:t>3. THE RULES APPLICABLE TO GENERIC MEDICINES ON THE FRENCH MARKET</w:t>
      </w:r>
    </w:p>
    <w:p>
      <w:r>
        <w:t>a) Definition of a generic medicine</w:t>
      </w:r>
    </w:p>
    <w:p>
      <w:r>
        <w:t>47. Article 10, paragraph 2, sub b), of Directive 2001/83/EC of the European Parliament and of the Council, of 6 November 2001, establishing a Community code relating to medicinal products for human use defines a generic medicine as follows: “[A] medicinal product which has the same qualitative and quantitative composition in active substances and the same pharmaceutical form as the reference medicinal product and whose bioequivalence with the reference medicinal product has been demonstrated by appropriate bioavailability studies. Different salts, esters, ethers, isomers, mixtures of isomers, complexes, or derivatives of an active substance are considered to be the same active substance unless they exhibit significantly different properties with respect to safety and/or efficacy. In this case, additional information providing evidence of the safety and/or efficacy of the different salts, esters, or derivatives of an authorized active substance must be provided by the applicant. Different oral pharmaceutical forms for immediate release are considered to be the same pharmaceutical form. The applicant may be exempted from bioavailability studies if they can prove that the generic medicine meets the relevant criteria set out in the applicable detailed guidelines” (OJ L 311 of 28.11.2001, p. 67).</w:t>
      </w:r>
    </w:p>
    <w:p>
      <w:r>
        <w:t>48. Article L. 5121-1, 5°, sub a), of the Public Health Code defines the generic specialty of a reference specialty as follows: “[I]t has the same qualitative and quantitative composition in active ingredients, the same pharmaceutical form, and whose bioequivalence with the reference specialty is demonstrated by appropriate bioavailability studies. A specialty can only be qualified as a reference specialty if its marketing authorization has been granted based on a file containing, under conditions set by regulatory means, all the necessary and sufficient data for its evaluation. For the application of this paragraph, different oral pharmaceutical forms for immediate release are considered to be the same pharmaceutical form. Similarly, different salts, esters, ethers, isomers, mixtures of isomers, complexes, or derivatives of an active ingredient are regarded as having the same qualitative composition in active ingredient, unless they exhibit significantly different properties with respect to safety or efficacy. In this case, additional information providing evidence of the safety and efficacy of the different salts, esters, or derivatives of an authorized active substance must be provided by the applicant for the marketing authorization.”</w:t>
      </w:r>
    </w:p>
    <w:p>
      <w:r>
        <w:t>49. Due to this equivalence of composition, the applicant for a marketing authorization for a generic medicine is, according to Article 10, paragraph 1, first subparagraph, of the aforementioned Directive 2001/83, exempted from the obligation to provide the results of preclinical and clinical trials normally required for obtaining such authorization. The applicant must therefore only provide the results of bioavailability tests demonstrating the bioequivalence of the generic medicine with the reference specialty.</w:t>
      </w:r>
    </w:p>
    <w:p>
      <w:r>
        <w:t>50. Bioavailability is defined by Article R. 5121-1 of the Public Health Code as “the rate and extent of absorption into the body, from a pharmaceutical form, of the active substance or its therapeutic fraction intended to become available at the sites of action,” while bioequivalence is defined as “the equivalence of bioavailabilities.”</w:t>
      </w:r>
    </w:p>
    <w:p>
      <w:r>
        <w:t>51. It thus appears that the three criteria to be met for a medicine to be classified as a generic are as follows:</w:t>
        <w:br/>
        <w:t>– the same qualitative and quantitative composition as the reference specialty;</w:t>
        <w:br/>
        <w:t>– the same pharmaceutical form as the reference specialty;</w:t>
        <w:br/>
        <w:t>– the demonstration of bioequivalence with the reference specialty.</w:t>
      </w:r>
    </w:p>
    <w:p>
      <w:r>
        <w:t>52. No text requires an identity of the composition in excipients between the reference specialty and the generic specialty. The composition in excipients, substances other than the active substance, can therefore be different. Indeed, the comparison of bioequivalence between the generic and the reference medicine is carried out by verifying that the amount of active ingredient delivered to the patient, after administration, is the same as with the originator medicine, regardless of the excipients present in the product's composition. It is simply provided that if the specialty contains an excipient with notable effects defined by Article R. 5143-8 of the Public Health Code as the excipient “whose presence may require precautions for use for certain particular categories of patients,” the presence of this excipient must be mentioned in the package leaflet and labeling of the medicine as well as in the generic directory.</w:t>
      </w:r>
    </w:p>
    <w:p>
      <w:r>
        <w:t>53. The Council of State has ruled in this regard that “the presence in a medicine of an excipient with notable effects that is not included in the composition of the reference specialty is not sufficient, by itself, to prevent its identification as a generic of that specialty if this difference has no effect on the efficacy and safety of the product” (judgment of 21 December 2007, Reckitt Benckiser Healthcare, no. 288129).</w:t>
      </w:r>
    </w:p>
    <w:p>
      <w:r>
        <w:t>b) The steps of the generification of a medicine</w:t>
      </w:r>
    </w:p>
    <w:p>
      <w:r>
        <w:t>The use of clinical data and bioequivalence tests</w:t>
      </w:r>
    </w:p>
    <w:p>
      <w:r>
        <w:t>54. The aforementioned Directive 2001/83, transposed into French law in the Public Health Code, currently provides for a protection of clinical data provided in the context of the marketing authorization application for the reference specialty for a duration of eight years. Under its Article 10, paragraph 1, first subparagraph, a generic manufacturer is not required to provide the results of preclinical and clinical trials if they can demonstrate that their specialty is a generic of a reference medicine authorized for at least eight years in a Member State or in the Union.</w:t>
      </w:r>
    </w:p>
    <w:p>
      <w:r>
        <w:t>55. However, a generic medicine cannot be marketed before the end of the ten-year period following the initial authorization of the reference medicine. This period is extended to eleven years if the holder of the marketing authorization obtains during the first eight years of the said ten-year period an authorization for one or more new therapeutic indications that are deemed, during the scientific evaluation conducted for their authorization, to provide a significant clinical advantage over existing therapies (Article 10, paragraph 1, second and fourth subparagraphs, of the aforementioned Directive 2001/83).</w:t>
      </w:r>
    </w:p>
    <w:p>
      <w:r>
        <w:rPr>
          <w:b/>
        </w:rPr>
        <w:t>[Pages 19–21]</w:t>
      </w:r>
    </w:p>
    <w:p>
      <w:r>
        <w:t>The marketing authorization procedure</w:t>
      </w:r>
    </w:p>
    <w:p>
      <w:r>
        <w:t>56. The marketing authorization (MA) for a generic drug can be granted within the framework of the following procedures:</w:t>
        <w:br/>
        <w:t>– a centralized procedure, via the EMEA, and more specifically the Committee for Medicinal Products for Human Use (CHMP);</w:t>
        <w:br/>
        <w:t>– a decentralized procedure, in which the examination of the centralized MA file is carried out by a national health authority (in France, the ANSM);</w:t>
        <w:br/>
        <w:t>– a mutual recognition procedure, in which the applicant requests recognition of the authorization granted for its product within one Member State of the European Union by one or more other Member States.</w:t>
      </w:r>
    </w:p>
    <w:p>
      <w:r>
        <w:t>Determination of the price</w:t>
      </w:r>
    </w:p>
    <w:p>
      <w:r>
        <w:t>57. Obtaining a generic MA allows the generic laboratory to submit a price request to the CEPS. Once granted, this price is published in the Official Journal of the French Republic.</w:t>
      </w:r>
    </w:p>
    <w:p>
      <w:r>
        <w:t>58. The price of a generic is expressed as a discount representing a certain percentage of the price of the reference brand before the marketing of generics. Between 2008 and 2012, this discount was generally set at 55% of the manufacturer's price excluding tax, while the price of the reference brand decreased by 15% after the marketing of the first generic. Since January 2012, the general principle is a discount of 60% compared to the price of the reference brand before the marketing of generics, with the price of the reference brand decreasing by 20%. The CEPS sets the same price for all generics of the same molecule.</w:t>
      </w:r>
    </w:p>
    <w:p>
      <w:r>
        <w:t>59. Due to the obligation imposed on Arrow to establish a risk management plan, the price of the generic Subutex®, at the time of the established facts, was set by the CEPS at 20% less than the price excluding tax of the reference brand, which is 15% less than the retail price of Subutex®, amounting to 18.73 euros for the 8 mg. The price difference between Subutex® and its generics in 2006 was therefore 3.51 euros for a box of 8 mg.</w:t>
      </w:r>
    </w:p>
    <w:p>
      <w:r>
        <w:t>Information to the holder of the reference product and registration in the generic directory</w:t>
      </w:r>
    </w:p>
    <w:p>
      <w:r>
        <w:t>60. The issuance of the generic MA by the ANSM also results in a notification by the latter to the holder of the reference product (Article L. 5121-10 of the Public Health Code).</w:t>
      </w:r>
    </w:p>
    <w:p>
      <w:r>
        <w:t>61. The notification to the holder of the MA of the reference specialty triggers a period of 60 days after which the ANSM adopts a decision to register in the generic directory, published a few days later on its website. This registration is then subject to publication in the JORF.</w:t>
      </w:r>
    </w:p>
    <w:p>
      <w:r>
        <w:t>62. In principle, it is only from this registration in the directory that a generic can be substituted for the reference product, even if it has already obtained a price published in the JORF.</w:t>
      </w:r>
    </w:p>
    <w:p>
      <w:r>
        <w:t>63. It should also be noted that the Council of State considers that the decision to register a generic drug in the generic directory constitutes a mere consequence of the issuance of the MA as a generic, after the holder of the MA of the reference specialty has been able to assert, if necessary, its rights (judgment of December 21, 2007, Reckitt Benckiser Healthcare, cited above).</w:t>
      </w:r>
    </w:p>
    <w:p>
      <w:r>
        <w:t>The consequences of registering a generic in the generic directory</w:t>
      </w:r>
    </w:p>
    <w:p>
      <w:r>
        <w:t>64. Once a generic drug is registered in the generic directory, Article L. 5125-23 of the Public Health Code allows the community pharmacist to dispense a specialty from the same generic group as a substitute for the prescribed specialty. This provision allows the pharmacist, within the framework of a prescription written with the brand name of the reference specialty, to replace it with a generic drug.</w:t>
      </w:r>
    </w:p>
    <w:p>
      <w:r>
        <w:t>65. In a previous decision by the Authority also concerning the substitutability of generics, the ANSM had indicated to the investigation services that "[o]nce they are listed in the directory in the PLAVIX group, all the generic specialties of PLAVIX can be dispensed as a substitute for the prescribed reference specialty, unless the prescriber has excluded this possibility. Indeed, Article L. 5125-23 of the CSP provides that by way of derogation from the provisions of the first paragraph, the pharmacist may dispense a specialty from the same generic group as a substitute for the prescribed specialty, provided that the prescriber has not excluded this possibility, for particular reasons related to the patient, by an express mention on the prescription, and subject to the conditions provided for in Article L. 162-16 of this code concerning specialties listed in the list mentioned in the first paragraph of Article L. 162-17 of the Social Security Code" (decision No. 13-D-11 of May 14, 2013, regarding practices implemented in the pharmaceutical sector, paragraph 68).</w:t>
      </w:r>
    </w:p>
    <w:p>
      <w:r>
        <w:t>66. This possibility of substitution is not affected by any difference in terms of indications between the reference product and its generics. Indeed, the Council of State, in a judgment dated July 23, 2003, noted: "[T]his results, firstly, in that the identity of therapeutic indications is not among the conditions for identifying generic specialties, pharmacists are legally authorized, given the identity of the composition of the specialties, to substitute a generic specialty for a reference specialty, even when the marketing authorizations for the two specialties do not target the same therapeutic indications" (Société Lilly France, No. 246716).</w:t>
      </w:r>
    </w:p>
    <w:p>
      <w:r>
        <w:t>67. Consequently, once a generic is registered in the generic directory, no legal provision prevents its dispensing by the pharmacist, even if this generic presents different indications from the reference product.</w:t>
      </w:r>
    </w:p>
    <w:p>
      <w:r>
        <w:t>68. Nevertheless, the prescribing physician can always exclude this possibility of substitution by an express mention on the prescription. Such a mention must, however, only be made "for particular reasons related to the patient."</w:t>
      </w:r>
    </w:p>
    <w:p>
      <w:r>
        <w:t>69. Furthermore, Article R. 5121-5 of the Public Health Code allows the Director General of the ANSM to specify, in his decision, and as necessary, that the substitution of the reference specialty by the generic specialty may pose a particular risk to the health of certain patients under certain conditions of use.</w:t>
      </w:r>
    </w:p>
    <w:p>
      <w:r>
        <w:t>4. THE MARKETING CONDITIONS OF MEDICINES AT THE TIME OF THE ESTABLISHED FACTS</w:t>
      </w:r>
    </w:p>
    <w:p>
      <w:r>
        <w:t>70. In accordance with the provisions of Article L. 138-9 of the Social Security Code, in its version in force at the time of the facts, "[d]iscounts, rebates, and commercial and financial advantages of any kind granted by all suppliers of pharmacies for reimbursable pharmaceutical specialties may not exceed per month and per line of products and for each pharmacy 2.5% of the price of these specialties. This ceiling is raised to 10.74% of the manufacturer's price excluding tax for generic specialties (...) Violations of the provisions set forth in this article are subject to the criminal penalties applicable to the offenses mentioned in Article L. 162-38."</w:t>
      </w:r>
    </w:p>
    <w:p>
      <w:r>
        <w:t>71. Consequently, the act of a supplier of pharmacies for reimbursable pharmaceutical specialties granting for a product or a line of products, discounts, rebates, or commercial and financial advantages that exceeded 2.5% of the price of that product or line of products constituted, at the time of the facts, an illegal practice under the Social Security Code.</w:t>
      </w:r>
    </w:p>
    <w:p>
      <w:r>
        <w:t>72. Article 3 of the law of January 3, 2008, amended Article L. 138-9 of the Public Health Code by introducing the clarification that commercial and financial advantages include "the remuneration for services provided for in Article L. 441-7 of the Commercial Code (commercial cooperation services and distinct services)" (Law No. 2008-3 for the development of competition in the service of consumers, JORF of January 4, 2008, p. 258). The legislator thus intended to explicitly affirm that remuneration for commercial cooperation services or other distinct services falls within the scope of "commercial and financial advantages" and must therefore be taken into account in the capping at 2.5% "of the manufacturer's price excluding tax of these specialties."</w:t>
      </w:r>
    </w:p>
    <w:p>
      <w:r>
        <w:t>73. Therefore, a supplier of the reference product could, prior to the law of January 3, 2008, grant discounts exceeding 2.5% of the manufacturer's price excluding tax if they fell under commercial cooperation or distinct services. However, these discounts had to comply with all applicable provisions of the Commercial Code.</w:t>
      </w:r>
    </w:p>
    <w:p>
      <w:r>
        <w:t>74. Paragraph I of Article L. 441-7 of the Commercial Code defines the commercial cooperation contract as the "agreement by which a distributor or service provider undertakes towards a supplier to provide, in connection with the resale of its products or services to consumers, services aimed at promoting their marketing that do not fall under the obligations of purchase and sale." Thus, services that do not fall under either the general terms of sale or commercial cooperation are referred to as distinct services (circular of December 8, 2005, regarding commercial relations, JORF of December 30, 2005, p. 20557).</w:t>
      </w:r>
    </w:p>
    <w:p>
      <w:r>
        <w:t>75. Under penalty of a fine of 75,000 euros, both commercial cooperation services and distinct services must be subject to written contracts. The aforementioned circular of December 8, 2005, further specifies that "[a]ny request for remuneration for commercial cooperation services or distinct services must correspond, respectively, to a service actually rendered, or to a consideration actually obtained, so as not to place the supplier in a position to grant a client discriminatory advantages, concerning a fictitious service or lacking real consideration."</w:t>
      </w:r>
    </w:p>
    <w:p>
      <w:r>
        <w:rPr>
          <w:b/>
        </w:rPr>
        <w:t>[Pages 22–24]</w:t>
      </w:r>
    </w:p>
    <w:p>
      <w:r>
        <w:t>C. THE IDENTIFIED PRACTICES</w:t>
      </w:r>
    </w:p>
    <w:p>
      <w:r>
        <w:t>1. THE DIFFERENT STRATEGIES FORMULATED BY SCHERING-PLOUGH AND RECKITT BENCKISER IN RESPONSE TO THE ARRIVAL OF A GENERIC</w:t>
      </w:r>
    </w:p>
    <w:p>
      <w:r>
        <w:t>a) The initial strategies</w:t>
      </w:r>
    </w:p>
    <w:p>
      <w:r>
        <w:t>76. Reckitt Benckiser, producer of buprenorphine and supplier of the reference product, expressed concern as early as January 2001 about the probable entry of a generic onto the French market upon the expiration of the patent. From that date, Mr. Chris X..., director of the BHD activity at Reckitt Benckiser in London, sent a letter to the CEO of Schering-Plough France, indicating that the patent holders were "perfectly aware of the threats that generics pose to our business initially (in France, the first European country where a generic will be marketed) and then for the rest of Europe, and this constitutes a major concern for both our companies" (several documents cited in this notification of grievances are written in English, and the translations provided for the quotes have been submitted to the file, reference 7077).</w:t>
      </w:r>
    </w:p>
    <w:p>
      <w:r>
        <w:t>77. Reckitt Benckiser indeed received remuneration on the sales made by Schering-Plough in France. Therefore, the appearance of the generic could indeed lead to a decrease in its revenues, linked to a potential decline in sales of Subutex®. Furthermore, Reckitt Benckiser, in its own words, "exclusively supplied Schering-Plough with products containing buprenorphine (...) for commercial purposes in France" (reference 18704).</w:t>
      </w:r>
    </w:p>
    <w:p>
      <w:r>
        <w:t>The meeting of April 30, 2004</w:t>
      </w:r>
    </w:p>
    <w:p>
      <w:r>
        <w:t>78. As indicated in a report, a meeting was organized on April 30, 2004, at the headquarters of Schering-Plough in Levallois-Perret, between Reckitt Benckiser and Schering-Plough, titled: "New competitors – generics" (references 13613 to 13624).</w:t>
      </w:r>
    </w:p>
    <w:p>
      <w:r>
        <w:t>79. For Reckitt Benckiser, Messrs. Chris X..., Andy Y..., sales director, and Neil Z..., quality control and quality assurance manager, participated.</w:t>
      </w:r>
    </w:p>
    <w:p>
      <w:r>
        <w:t>80. For Schering-Plough Corp., Messrs. Craig A..., Jean-Manasse B..., Geert de Greef, and Ms. Haïfa D... participated. For the French subsidiary, Schering-Plough, Messrs. Pierre E..., CEO, Alain F..., regulatory affairs, Olivier G..., marketing manager, and Ms. Catherine H..., addiction marketing manager, were also present.</w:t>
      </w:r>
    </w:p>
    <w:p>
      <w:r>
        <w:t>81. The purpose of the meeting was to examine the strategy of potential competitors in the French market, identify possible actions in response, assign responsibilities to each participant, and determine the timeline for actions.</w:t>
      </w:r>
    </w:p>
    <w:p>
      <w:r>
        <w:t>82. Several actions were decided during this meeting. One of them, related to the active ingredient of the generic, involved studying "the possibilities that there are impurities with consequences on the agonist power that could impact the safety of the generic" ("Reckitt to explore potential agonist potent impurities that may impact generic safety", reference 13624).</w:t>
      </w:r>
    </w:p>
    <w:p>
      <w:r>
        <w:t>The meeting of July 20, 2004</w:t>
      </w:r>
    </w:p>
    <w:p>
      <w:r>
        <w:t>83. On July 20, 2004, as evidenced by a report, another meeting between Reckitt Benckiser and Schering-Plough, titled "Buprenorphine Generics-review of defense strategy", was held in Levallois-Perret (references 13610 to 13612).</w:t>
      </w:r>
    </w:p>
    <w:p>
      <w:r>
        <w:t>84. First, a review of other suppliers of buprenorphine was conducted. MacFarlan Smith was identified as the second "approved" source of buprenorphine for Reckitt Benckiser and was interested in supplying products to generics manufacturers.</w:t>
      </w:r>
    </w:p>
    <w:p>
      <w:r>
        <w:t>85. Secondly, a market study project was presented by Schering-Plough, which would be conducted by the consulting firm Smart Pharma. On this occasion, it was considered to use funds from the New Products Development (NPD), which were used to finance the development of new products and clinical trials, to finance this study (references 17283 to 17291).</w:t>
      </w:r>
    </w:p>
    <w:p>
      <w:r>
        <w:t>86. Thirdly and finally, it was agreed that Schering-Plough should develop an argument regarding the negative impact of generics. In this regard, the participants considered that the generic, given its price, could, on the one hand, promote the development of BHD sales in the black market, referred to in subsequent documents as "trafficking", and, on the other hand, facilitate access to a first addiction ("low cost could increase black market, access to the product as a 'first addiction'...", reference 13611).</w:t>
      </w:r>
    </w:p>
    <w:p>
      <w:r>
        <w:t>The meeting of September 24, 2004</w:t>
      </w:r>
    </w:p>
    <w:p>
      <w:r>
        <w:t>87. On September 24, 2004, the "Subutex® - NPD meeting" took place, bringing together representatives of Schering-Plough and Reckitt Benckiser, during which the use of "NPD" funds for financing the market study to be conducted by Smart Pharma was formally approved (references 13499 to 13502).</w:t>
      </w:r>
    </w:p>
    <w:p>
      <w:r>
        <w:t>The report from Saatchi &amp; Saatchi in October 2004</w:t>
      </w:r>
    </w:p>
    <w:p>
      <w:r>
        <w:t>88. On October 13, 2004, the consulting firm Saatchi &amp; Saatchi Healthcare submitted a report to Schering-Plough regarding the communication strategy that should be developed in favor of Subutex® for the year 2005 to address the "generic" threat (references 6491 to 6534). To this end, it notably proposed to strengthen the image of Schering-Plough as a major player in the opioid substitution policy among doctors, pharmacists, and also patients.</w:t>
      </w:r>
    </w:p>
    <w:p>
      <w:r>
        <w:t>The Smart Pharma study of October 2004</w:t>
      </w:r>
    </w:p>
    <w:p>
      <w:r>
        <w:t>89. In October 2004, Smart Pharma also delivered a study to Schering-Plough, titled "Subutex performance optimization", the first section of which addresses the "threat of generics" ("Generics threat", reference 5878). Smart Pharma estimates in its study that within a year, the market share of generics could reach 68% (reference 5914). Indeed, according to the survey conducted, once generics enter the market, doctors will not be particularly loyal to Subutex®, with 60% of them showing no particular attachment to the brand (reference 5922).</w:t>
      </w:r>
    </w:p>
    <w:p>
      <w:r>
        <w:t>90. A first graph provides an estimate of the penetration rate of a competing generic of Subutex® compared to the drug Prozac®, considered a "benchmark" ("benchmark", reference 5928):</w:t>
      </w:r>
    </w:p>
    <w:p>
      <w:r>
        <w:t>91. Another graph represents the different scenarios of market evolution, based on various assumptions of generic penetration (reference 5930). The first scenario, termed "optimistic", assumes the market entry of a single generic. In this case, the market share of the generic will be 27% after one year. The second scenario, termed "base case", assumes the market entry of a single generic by a large company or two generics by two smaller companies. In this case, the market share of the generic would reach 48% after one year. The third and final scenario, termed "pessimistic", assumes the rapid and simultaneous market entry of three generics by three large companies. In this scenario, the market shares of the generic would be 61% after one year.</w:t>
      </w:r>
    </w:p>
    <w:p>
      <w:r>
        <w:rPr>
          <w:b/>
        </w:rPr>
        <w:t>[Pages 25–27]</w:t>
      </w:r>
    </w:p>
    <w:p>
      <w:r>
        <w:t>une situation où elle ne peut pas fournir d'explications sur son contenu » (cote 13891).</w:t>
      </w:r>
    </w:p>
    <w:p>
      <w:r>
        <w:t>106. Le 6 octobre 2005, M. Gilles M... répond à M. Andy Y... en indiquant que « le plan d’optimisation des performances est un sujet important et qu’il est essentiel que nous soyons tous alignés sur les actions à entreprendre » (cote 13891).</w:t>
      </w:r>
    </w:p>
    <w:p>
      <w:r>
        <w:t>107. Le 7 octobre 2005, une réunion est organisée entre Reckitt Benckiser et Schering-Plough pour discuter des prochaines étapes concernant le plan d’optimisation des performances et la stratégie à adopter face à l’arrivée des génériques (cote 13891).</w:t>
      </w:r>
    </w:p>
    <w:p>
      <w:r>
        <w:rPr>
          <w:b/>
        </w:rPr>
        <w:t>[Pages 28–30]</w:t>
      </w:r>
    </w:p>
    <w:p>
      <w:r>
        <w:t>l'incapacity to confirm its authenticity (...) (furthermore) Mr. Andy Y... has left the group to which Reckitt Benckiser France belongs (and therefore could not be questioned)" (references 19138 and 19139).</w:t>
      </w:r>
    </w:p>
    <w:p>
      <w:r>
        <w:t>106. Attached to this email from Reckitt Benckiser is the "performance optimization plan." This version includes several pages from the presentation sent by Schering-Plough on September 30, 2005, such as the following page (reference 13899):</w:t>
      </w:r>
    </w:p>
    <w:p>
      <w:r>
        <w:t>107. In this plan, Reckitt Benckiser also acknowledges the identification of "categories of patients for whom a prescription change may pose a high risk, namely injection, comorbidity, particularly for patients undergoing psychiatric treatment, and to raise awareness among doctors about the risk through sales forces" ("patient types for who a changes in Rx may carry a high risk i.e. injectors, co-morbidity e.g. psychiatric patients, and educate Drs on the risk through sales representatives," reference 13894). It is also specified that, "when a generic is available, obtain a supply as soon as possible to analyze and identify any potential risks, i.e. the difference in excipients" ("a generic is available, obtain a supply asap to analyse and identify any potential risks i.e. different excipients," reference 13894). In this regard, a comparative analysis of its product with the generic is established regarding its appearance, dissolution, and excipients in order to communicate the results to doctors and pharmacists ("Compare generic product with Subutex • Appearance, Dissolution, Excipients • Communicate findings to medical, pharmacy professionals to ensure they can advise their patients appropriately," reference 13899).</w:t>
      </w:r>
    </w:p>
    <w:p>
      <w:r>
        <w:t>108. In the slide "Pharmacy: presentation of the schedule" and more specifically in the developments related to the "commercial package" for the first quarter of 2006, the decision to "boost the initial stock" is made ("Initial Stock Boost," reference 13895). This presentation specifies that the objective is to "provide pharmacists with short-term cash discounts to ensure adequate stock in place prior to the generic launch" ("[p]rovide short term cash discount to pharmacists to ensure adequate stock in place prior to generic launch," reference 13898).</w:t>
      </w:r>
    </w:p>
    <w:p>
      <w:r>
        <w:t>The parent company's comments on the commercial action to be implemented</w:t>
      </w:r>
    </w:p>
    <w:p>
      <w:r>
        <w:t>109. After his visits on November 21, 22, and 23, 2005, Mr. Francesco N..., Vice President Europe and Canada of Schering-Plough Corp., writes a report in which he requests an evaluation of what type of aggressive commercial offer could be implemented for pharmacies ("evaluate what kind of aggressive commercial offer could be put in place at the pharmacy level," reference 4608).</w:t>
      </w:r>
    </w:p>
    <w:p>
      <w:r>
        <w:t>110. As indicated in the report of the joint meeting of April 30, 2004, cited above, the strategy of the stakeholders also includes "lobbying" actions directed at public authorities, particularly health authorities.</w:t>
      </w:r>
    </w:p>
    <w:p>
      <w:r>
        <w:t>c) The joint action of Schering-Plough and Reckitt Benckiser with the AFSSAPS</w:t>
      </w:r>
    </w:p>
    <w:p>
      <w:r>
        <w:t>111. On November 9, 2005, Schering-Plough and Schering-Plough Corp. send a letter to the director of the AFSSAPS to alert them to the risk of genotoxicity of the generic that could exist due to potential impurities in the product.</w:t>
      </w:r>
    </w:p>
    <w:p>
      <w:r>
        <w:t>112. This letter, written by Reckitt Benckiser and signed by Mr. Jean-Paul O..., responsible pharmacist at Schering-Plough, specifies: "Our significant potential safety issue with buprenorphine hydrochloride is the use of a reactive alkylating agent, cyclopropylmethyl bromide, which, due to its functionality and reactivity, is considered a genotoxic material (...) Schering-Plough has insisted that Reckitt demonstrate the absence of cyclopropylmethyl bromide at a sufficiently safe margin below the threshold, in order to avoid any toxicological issues for a number of consecutive batches. (...) It is important to draw the attention of the AFSSAPS to the issue of the potentially genotoxic impurity of the product because this issue is not currently discussed in the European Pharmacopoeia monograph dedicated to buprenorphine hydrochloride. We also considered it extremely important to demonstrate, for our own source of buprenorphine hydrochloride, that safe residue levels have been achieved and we wished to provide the AFSSAPS with the assurance we deem necessary in this regard. In the opinion of our consultant, the use of an alkylating agent is unavoidable in the synthesis of buprenorphine and therefore, it is important that any manufacturer demonstrates that their process allows for the reduction of residues, below a defined safe level. We believe that Reckitt Benckiser has perfectly demonstrated this for its process" (references 4820 and 13568).</w:t>
      </w:r>
    </w:p>
    <w:p>
      <w:r>
        <w:t>d) The development of the "French plan against generics"</w:t>
      </w:r>
    </w:p>
    <w:p>
      <w:r>
        <w:t>The Smart Pharma study of December 2005</w:t>
      </w:r>
    </w:p>
    <w:p>
      <w:r>
        <w:t>113. In December 2005, Smart Pharma submits to Schering-Plough its study entitled "the competition of generics in France, what impact for Subutex," in which it examines the possibilities available to originator laboratories to defend against generics (references 7885 and following).</w:t>
      </w:r>
    </w:p>
    <w:p>
      <w:r>
        <w:t>114. Smart Pharma first lists the different levels at which a laboratory can act (pharmacists, doctors, health authorities, generic manufacturers, and patients, reference 7899).</w:t>
      </w:r>
    </w:p>
    <w:p>
      <w:r>
        <w:t>115. Smart Pharma then outlines the various possible defense strategies for originator laboratories: development of a new generation of drugs, reduction of the price of the originator, offering discounts to pharmacists, development of a protected form, introduction of a defensive generic (autogeneric), introduction of new forms and dosages, offering medical services, moving to a non-reimbursed form (reference 7899).</w:t>
      </w:r>
    </w:p>
    <w:p>
      <w:r>
        <w:t>116. In order to determine the level of penetration of a generic, the study again makes a comparison with the drug Prozac® considered as a "reference" or "benchmark" (reference 7900). It is estimated that after one year, Arrow's market share will be 35%, then 49% after the arrival of additional generics, reaching 65% after three years.</w:t>
      </w:r>
    </w:p>
    <w:p>
      <w:r>
        <w:t>The meeting of December 9, 2005: the plan in response to the imminent entry of the generic</w:t>
      </w:r>
    </w:p>
    <w:p>
      <w:r>
        <w:t>117. On December 9, 2005, a meeting is organized at the headquarters of Reckitt Benckiser in Slough, United Kingdom, between the latter and Schering-Plough to finalize the plan against the generic ("French plan against generic," reference 4887) whose market entry is imminent. Indeed, both Schering-Plough and Reckitt Benckiser are informed that the generic manufacturer has initiated steps with the AFSSAPS to obtain a marketing authorization, which should be issued around mid-December 2005 (references 4837 and 4838).</w:t>
      </w:r>
    </w:p>
    <w:p>
      <w:r>
        <w:t>118. At this meeting on December 9, 2005, present for Schering-Plough Corp. are Mr. Craig A..., and Ms. Lina J... and Reina K..., for Schering-Plough, Mr. Gilles M..., Chief Executive Officer, and for Reckitt Benckiser, Mr. Erhard P..., present only for part of the discussions regarding the "Generic Defence," Messrs. Brian Q..., Peter I..., Chris X..., and Andy Y....</w:t>
      </w:r>
    </w:p>
    <w:p>
      <w:r>
        <w:rPr>
          <w:b/>
        </w:rPr>
        <w:t>[Pages 31–33]</w:t>
      </w:r>
    </w:p>
    <w:p>
      <w:r>
        <w:t>The "PowerPoint" presented by Schering-Plough</w:t>
      </w:r>
    </w:p>
    <w:p>
      <w:r>
        <w:t>119. For the preparation of this meeting, a "PowerPoint" is prepared by Schering-Plough. Several versions of this document, which will be revised by Mr. Gilles M..., are included in the file (references 4779 and following, 7783 and following, 7795 and following, and 20,522 and following).</w:t>
      </w:r>
    </w:p>
    <w:p>
      <w:r>
        <w:t>120. This document presents the strategy proposed by Schering-Plough to its parent company and to Reckitt Benckiser. This strategy is structured around three axes:</w:t>
        <w:br/>
        <w:t>- raising barriers to the entry of the generic, notably through actions with the AFSSAPS (reminder of the 10-year rule, awareness on misuse, etc.). Furthermore, an action is planned targeting "health professionals, patient associations, and journalists" in order to "create awareness on increased traffic risks" (reference 4781);</w:t>
        <w:br/>
        <w:t>- limiting the penetration of the generic by building up stocks of Subutex® for a sales duration of three months in pharmacies ("Objective / impact - Push Subutex stocks with commercial offer. Goal is 3 months stock", reference 4781) through commercial offers and programs ensuring the "loyalty" of pharmacists (reference 4781). The action plan of Depolabo, which will be retained as the "pharmacy agent," responsible for the marketing of Subutex® to pharmacies, is presented, notably targeting discounts towards pharmacies with the highest turnover (resorting to Depolabo, mandated by Schering-Plough, responsible for direct sales, is the only way to grant significant discounts to pharmacists by transferring the margin from the wholesaler to the pharmacists);</w:t>
        <w:br/>
        <w:t>- preparing the transition to Subutex FDT® and Suboxone®.</w:t>
      </w:r>
    </w:p>
    <w:p>
      <w:r>
        <w:t>121. Regarding the second axis, a slide from this plan presents the action plan for pharmacists for the year 2006 (reference 4784). One of the objectives is to minimize the penetration of the generic below 35% market share ("Minimize generic penetration &lt; 35 %"). To achieve this, several "Tools" are listed such as the commercial offer ("Commercial offer") and communication regarding "the unique nature of intravenous drug users: fear factor for treatment changes, psychiatric instability, risks of misuse and trafficking" ("Detailing the uniqueness of IVDUs (Intravenous Drug Users): “fear” factor for treatment changes, psychiatric instability, risk of misuse and trafficking", reference 4784).</w:t>
      </w:r>
    </w:p>
    <w:p>
      <w:r>
        <w:t>122. Concerning the penetration rate of generics, a slide provides an estimate of the revenue loss that would result from the entry of a Subutex® generic (reference 4785). In an annual market of 85 million euros, the revenue loss is estimated at 26 million, corresponding to a market share of the generic of 30% within one year. Similarly, two other slides establish simulations on the evolution of the Subutex® market over a one-year horizon ("penetration@1yr"), based on different assumptions regarding the entry dates of the generic and its penetration rate (reference 4787). Three scenarios are retained: a pessimistic scenario ("worst case") with a market share of 60% within one year, following the entry of the generic in January 2006; a base scenario ("base case"), which retains a market share of 45% within one year, following the entry of the generic in February 2006; an optimistic scenario ("best case") which assumes the entry of the generic in October 2006 and results in a market share within one year of 35%.</w:t>
      </w:r>
    </w:p>
    <w:p>
      <w:r>
        <w:t>123. A few days before the meeting, the "PowerPoint" is sent to Reckitt Benckiser for comments. In an email dated December 5, 2005, Reckitt Benckiser shares its remarks and questions (references 15178 and 15179).</w:t>
      </w:r>
    </w:p>
    <w:p>
      <w:r>
        <w:t>The minutes of the meeting by Reckitt Benckiser</w:t>
      </w:r>
    </w:p>
    <w:p>
      <w:r>
        <w:t>124. The minutes of this meeting recount the discussions related to the plan presented by Schering-Plough and discussed with the other participants (references 13462 to 13465). It is thus established that the argument that "the launch of a generic could escalate the trafficking situation" and that "if a generic is launched (Gilles M...) has defined a plan to optimize the performance of Subutex through the use of the sales force of (Schering-Plough) to provide professional support to the pharmacy" ("[t]he launch of a generic could escalate the Trafficking situation" and that "if a generic is launched, (Gilles M...) defined plan to optimise Subutex performance through using SP salesforce to provide professional support to Pharmacy", reference 13462).</w:t>
      </w:r>
    </w:p>
    <w:p>
      <w:r>
        <w:t>125. This report also indicates the key actions to be taken (references 13462 and 13463).</w:t>
      </w:r>
    </w:p>
    <w:p>
      <w:r>
        <w:t>The minutes of the meeting by Schering-Plough</w:t>
      </w:r>
    </w:p>
    <w:p>
      <w:r>
        <w:t>126. Mr. Gilles M..., CEO of Schering-Plough, establishes, in the form of an email, the minutes of this meeting where he records the follow-up actions (references 4487 and 4488). This report specifies that an agreement has been reached with Reckitt Benckiser on the main points and indicates the actions to be taken and the designated responsible parties for these actions ("the main points agreed with Reckitt during our meeting", reference 4487). The email also indicates that the management of Reckitt Benckiser Europe congratulates the team for the development of the plan ("Erhard P..., head of RB Europe, found the plan well done and detailed enough, he addressed the congrats to the team for this", reference 4487).</w:t>
      </w:r>
    </w:p>
    <w:p>
      <w:r>
        <w:t>The minutes of the meeting by Schering-Plough Corp.</w:t>
      </w:r>
    </w:p>
    <w:p>
      <w:r>
        <w:t>127. Finally, the minutes of this meeting are also prepared by Schering-Plough Corp. (references 14420 and 14421). It is indicated that the focus will be on pharmacies through the two sales forces, that of Schering-Plough centered on training and education and that of Depolabo which will work with pharmacists on orders and commercial conditions.</w:t>
      </w:r>
    </w:p>
    <w:p>
      <w:r>
        <w:t>2. THE IMPLEMENTATION OF THE PLAN BY SCHERING-PLOUGH</w:t>
      </w:r>
    </w:p>
    <w:p>
      <w:r>
        <w:t>a) The authorization given by the parent company for the implementation of the plan</w:t>
      </w:r>
    </w:p>
    <w:p>
      <w:r>
        <w:t>128. On February 10, 2006, Schering-Plough sends a memorandum to its parent company titled "Subutex FRANCE UPDATE - Request for legal actions" which presents the latest events related to the generic and requests its approval for the future actions planned (references 4187 to 4192).</w:t>
      </w:r>
    </w:p>
    <w:p>
      <w:r>
        <w:t>129. Thus, Schering-Plough reminds its parent company of the adopted strategy which consists of attempting to transfer prescriptions from Subutex® to Suboxone® planned for the fourth quarter of 2006. According to the French subsidiary, to implement this transfer strategy, there are three priorities:</w:t>
        <w:br/>
        <w:t>"1) delay the entry of the generic and ensure that Arrow has the necessary resources for its risk management plan</w:t>
        <w:br/>
        <w:t>2) once the generic is launched, compete with Arrow to retain the highest market shares and maintain the largest customer base to transfer prescriptions to Suboxone</w:t>
        <w:br/>
        <w:t>3) accelerate the reimbursement procedure for Suboxone (after European approval in October 2006) and obtain the highest reimbursement price for Suboxone" (reference 4187).</w:t>
      </w:r>
    </w:p>
    <w:p>
      <w:r>
        <w:t>130. As part of the actions to be undertaken to meet priority No. 2, Schering-Plough indicates that the sales forces of the subsidiary have been reorganized to focus on the largest dispensers of Subutex®. Since January 8, 2006, 40 sales representatives from Schering-Plough continue to provide professional support to doctors, but are now turning towards pharmacists, the "new target" (reference 14704). On January 11 of the same year, the sale of Subutex® is ensured by Depolabo in selected pharmacies.</w:t>
      </w:r>
    </w:p>
    <w:p>
      <w:r>
        <w:t>131. The objective is to ensure a sufficient stock level of Subutex® in pharmacies, increase coverage in pharmacies, and develop loyalty through commercial conditions ("ensure sufficient Subutex stock level in pharmacies, add’I coverage at the pharmacies, and develop loyalty through commercial conditions", reference 4188).</w:t>
      </w:r>
    </w:p>
    <w:p>
      <w:r>
        <w:t>132. According to Schering-Plough, "direct sales," that is to say, sales made to pharmacies by Depolabo, already represent 25% of sales as of January 2006 with an average stock of about 2 to 3 months (reference 4188).</w:t>
      </w:r>
    </w:p>
    <w:p>
      <w:r>
        <w:t>133. The parent company is also informed by its subsidiary that the generic, for its 8 mg dosage, has fewer excipients and a faster dissolution, which, according to Schering-Plough, should lead to a higher risk of misuse.</w:t>
      </w:r>
    </w:p>
    <w:p>
      <w:r>
        <w:t>134. Schering-Plough plans in this regard to accelerate "our efforts to leverage our relationships with (key opinion leaders), general practitioner groups, pharmacists' unions to raise awareness of the higher risk of misuse, and try to obtain public warnings" ("our efforts to leverage our relations with KOLs (key leader opinion), GP groups (GP for general practitioner) and pharmacists’ unions to raise the awareness of the higher risk of misuse, and try to obtain public warnings", reference 4191).</w:t>
      </w:r>
    </w:p>
    <w:p>
      <w:r>
        <w:rPr>
          <w:b/>
        </w:rPr>
        <w:t>[Pages 34–36]</w:t>
      </w:r>
    </w:p>
    <w:p>
      <w:r>
        <w:t>b) The marketing conditions of Subutex®</w:t>
      </w:r>
    </w:p>
    <w:p>
      <w:r>
        <w:t>The partnership with Depolabo</w:t>
      </w:r>
    </w:p>
    <w:p>
      <w:r>
        <w:t>The choice by Schering-Plough of Depolabo and the amendment to the contract of December 22, 2005</w:t>
      </w:r>
    </w:p>
    <w:p>
      <w:r>
        <w:t>135. Depolabo was selected due to the pre-existing contractual relationships between it and Schering-Plough for the direct sale of certain products. On December 22, 2005, an amendment to the contract was signed, including Subutex® among the products marketed to pharmacies by Depolabo (references 13111 to 13117).</w:t>
      </w:r>
    </w:p>
    <w:p>
      <w:r>
        <w:t>136. The pre-existing contract set the distribution terms: Schering-Plough remained the owner of the products, Depolabo, a commercial agent paid on commission, issued invoices on behalf of Schering-Plough, and was responsible for their collection, "under discount conditions as mutually agreed" and "by benefiting the pharmacy from a defined discount scale agreed with Schering-Plough" (references 13091 and 13092).</w:t>
      </w:r>
    </w:p>
    <w:p>
      <w:r>
        <w:t>137. Article 5 of the contract, titled "Pharmacy Prospecting," provides that Depolabo "ensures in particular through its pharmaceutical representatives (...) the prospecting of pharmacies for the products covered by this contract. (...) Depolabo may conduct specific information and promotional campaigns at pharmacies for certain products, at the request and according to the directives of Schering-Plough, it being understood that these operations will be subject to a contractual agreement setting the terms of this service" (reference 13090). Thus, the definition of the communication strategy for the sale of Subutex® falls to Schering-Plough.</w:t>
      </w:r>
    </w:p>
    <w:p>
      <w:r>
        <w:t>The strategic orientation</w:t>
      </w:r>
    </w:p>
    <w:p>
      <w:r>
        <w:t>♦ The "three tiers"</w:t>
      </w:r>
    </w:p>
    <w:p>
      <w:r>
        <w:t>138. The objective assigned by Schering-Plough to Depolabo, as evidenced by a slide from the presentation that the latter made to the representatives of Schering-Plough on December 14, 2005, is to slow the arrival of generics by encouraging the stocking of Subutex® (reference 13914).</w:t>
      </w:r>
    </w:p>
    <w:p>
      <w:r>
        <w:t>139. The envisaged "commercial policy" favors the largest buyers by establishing a system that resembles a scale. It thus provides for several tiers of discounts, including a maximum discount of 10.5% for the purchase of at least 350 units. This "commercial policy" therefore encourages the stocking of Subutex®.</w:t>
      </w:r>
    </w:p>
    <w:p>
      <w:r>
        <w:t>140. The proposed approach consists of formulating commercial offers to promote "a 3-month stock" in pharmacies, whereas the normal stocking duration is five to eight days (decision no. 07-MC-06, cited above, paragraph 121).</w:t>
      </w:r>
    </w:p>
    <w:p>
      <w:r>
        <w:t>♦ The identification of pharmacies</w:t>
      </w:r>
    </w:p>
    <w:p>
      <w:r>
        <w:t>141. For the preparatory meeting for the direct sales offer on November 16, 2005, Depolabo advises, for the first step in implementing the "commercial policy," the identification of pharmacies that sell Subutex® in large quantities (references 5220 and 5223).</w:t>
      </w:r>
    </w:p>
    <w:p>
      <w:r>
        <w:t>142. In this regard, two objectives are set. The first is to "[i]dentify pharmacies with high SUBUTEX potential" in order to "[i]ncite the pharmacist to stock over a period of 3 to 4 months before the arrival of generics" (reference 5223). The second is to "[d]efend the product against competition from generics (March 2006)" in order to "[f]rein the penetration of the generic" (reference 5223).</w:t>
      </w:r>
    </w:p>
    <w:p>
      <w:r>
        <w:t>143. Another slide, dedicated to the selection of pharmacies, presents the chosen operating method (reference 5224). Through Distriphar, a survey is to be conducted on monthly rotations among the 22,500 pharmacies to "[i]dentify by name the 8,000 dispensing pharmacies" and among them "[i]dentify the 'big potentials': approximately 2,500 pharmacies."</w:t>
      </w:r>
    </w:p>
    <w:p>
      <w:r>
        <w:t>144. In its hearing in September 2007, Depolabo confirmed the objectives of this survey conducted in December 2005 among pharmacists: "The goal is to try to occupy the field by the presence of stocks in pharmacies and by providing information in the context of the pharmacist's advice to patients. (...) We had never conducted direct sales of Subutex before. (...) We set up a call center in December 2005 whose objective was to identify the main dispensing pharmacies of Subutex. The call center determined what the 'core target' for Subutex was, namely the most important pharmacies. This information allowed Schering-Plough's medical visit network to better target its actions. Part of this target was not a customer of Distriphar" (reference 73, 07/0035M).</w:t>
      </w:r>
    </w:p>
    <w:p>
      <w:r>
        <w:t>145. The Depolabo survey identified 8,734 pharmacies that sell Subutex®. Among them, 2,090 pharmacies constitute the "core target," those with monthly rotations exceeding 50 units, towards which commercial actions should be directed.</w:t>
      </w:r>
    </w:p>
    <w:p>
      <w:r>
        <w:t>The implementation of the commercial policy</w:t>
      </w:r>
    </w:p>
    <w:p>
      <w:r>
        <w:t>146. The operation began on January 9, 2006 (reference 15704). Thus, the month of January of that year was marked by a significant volume of Subutex® sales (references 452, 733, and 14200). The identified pharmacies were offered a number of financial advantages, in addition to a 2.5% discount on the ex-tax wholesale price.</w:t>
      </w:r>
    </w:p>
    <w:p>
      <w:r>
        <w:t>The granting of additional financial advantages</w:t>
      </w:r>
    </w:p>
    <w:p>
      <w:r>
        <w:t>147. The number of boxes ordered determines the percentage of the discount. Thus, an order of 70 boxes entitles the buyer to a 5.5% discount off the ex-tax manufacturer price, an order of 200 boxes results in an 8% discount, and an order of 350 boxes results in a 10.5% discount. These discounts do not take the form of a quantitative discount on the invoice, in accordance with the law which limits the rate to 2.5%, but rather as credits.</w:t>
      </w:r>
    </w:p>
    <w:p>
      <w:r>
        <w:t>148. A slide from Depolabo to Schering-Plough allows visualization of the total amount of the ex-tax price reduction obtained through these three tiers (reference 13927):</w:t>
      </w:r>
    </w:p>
    <w:p>
      <w:r>
        <w:t>149. Thus, a pharmacist who ordered a minimum of 350 units of Subutex® 8 mg was charged 15.38 euros per box and could therefore obtain a reduction of 1.80 euros per box. This resulted in a gain of 630 euros per order instead of the regulatory 150 euros, or 4.2 times more.</w:t>
      </w:r>
    </w:p>
    <w:p>
      <w:r>
        <w:t>The confirmation of these commercial advantages by the DGCCRF investigation</w:t>
      </w:r>
    </w:p>
    <w:p>
      <w:r>
        <w:t>150. An investigation conducted by the Directorate General for Competition, Consumer Affairs and Fraud Control (hereinafter "DGCCRF") in the summer of 2006 confirmed the existence of these commercial advantages linked to the quantities purchased.</w:t>
      </w:r>
    </w:p>
    <w:p>
      <w:r>
        <w:t>151. Thus, a pharmacist from Nice specifies: "During the first half of 2006, I was able to source directly from the manufacturer of this reference product, the company Schering-Plough, through the company Depolabo, its distributor. Before this period, Schering refused to deliver to us directly. It was a representative of this company who informed us of this new development during a visit to the pharmacy at the end of 2005. This measure proved to be very advantageous for me because regarding direct purchases, I was able to benefit, in addition to the discount capped at 2.5% for the reference product provided for in Article L. 138-9 of the Social Security Code, from the wholesale margin, which is an additional advantage of 10.30% compared to the sales conditions of the wholesale distributor. This company even granted me a payment term of 3 months for my first order (invoice dated 01/13/2006)" (reference 2020).</w:t>
      </w:r>
    </w:p>
    <w:p>
      <w:r>
        <w:t>152. This pharmacist thus benefited from the legal discount of 2.5% and the transfer of the wholesale margin in the context of direct sales, amounting to 10.30%, which would represent an overall price reduction of 12.80%, which seems to go beyond the framework set by Schering-Plough. He was also granted payment terms of 3 months.</w:t>
      </w:r>
    </w:p>
    <w:p>
      <w:r>
        <w:t>153. Similarly, a pharmacist from Clermont-Ferrand explains that he was called by Depolabo "to tell me that I could benefit from a 10% discount. It was about discounts on large quantities, 350 boxes of Subutex 8 mg. These are exceptional quantities, which represented for me more than 4 months of stock, which is a lot.</w:t>
      </w:r>
    </w:p>
    <w:p>
      <w:r>
        <w:rPr>
          <w:b/>
        </w:rPr>
        <w:t>[Pages 37–39]</w:t>
      </w:r>
    </w:p>
    <w:p>
      <w:r>
        <w:t>for this type of molecule. The norm in the case of direct sales is generally 2 to 3 months. This laboratory also offered payment terms" (reference 410).</w:t>
      </w:r>
    </w:p>
    <w:p>
      <w:r>
        <w:t>154. A pharmacist from Toulouse also details the conditions considered "for 70 assorted units, a 5.5% discount and payment within 60 days from the date; for 200 units 8% and 90 days from the date, and for 350 units 10.5% and 90 days from the date. The discounts were split between the 2.5% legal discount and the additional amount in the form of a cooperation contract for distinct services. We placed an order on January 30, 2006, for a quantity of 350 boxes which represented two to two and a half months of stock" (reference 2260). As this pharmacist indicates, this type of discount was offered in the form of a cooperation contract for distinct services.</w:t>
      </w:r>
    </w:p>
    <w:p>
      <w:r>
        <w:t>The justification for these discounts in light of the Dutreil law</w:t>
      </w:r>
    </w:p>
    <w:p>
      <w:r>
        <w:t>155. As previously stated, the legal discount on invoices is limited to 2.5% of the price excluding tax, any other pricing advantage can only take the form of remuneration for commercial cooperation or for distinct services.</w:t>
      </w:r>
    </w:p>
    <w:p>
      <w:r>
        <w:t>156. This distinct service would have consisted of the pharmacists' participation in the Depolabo survey entitled "pharmaceutical information feedback" (RIO). Depolabo stated in this regard that "[t]he complementary service offered for Subutex was to carry out pharmaceutical information feedback, which is the term we use to define surveys with pharmacists. These are distinct service provisions, and pharmacists are compensated for this survey work. Our pharmaceutical representatives were responsible for this work. These surveys were primarily aimed at pharmacies dispensing significant quantities of Subutex" (reference 452).</w:t>
      </w:r>
    </w:p>
    <w:p>
      <w:r>
        <w:t>157. Regarding the link between the service remuneration and the quantity ordered, Depolabo indicates that "[s]ince 2001, Schering Plough has sought to implement questionnaires for its three allergy products, namely 'Aérius, Nasonex, and Clarityne', in order to obtain information related to the turnover level of said products, the seasonal effect, or more generally to understand the purchasing behavior of pharmacists. In 2006, in addition to the commercial conditions granted by Schering Plough (...), our sales force was also tasked with offering pharmacists a questionnaire related to 'Subutex' (...). Thus, for Schering Plough, the said questionnaire contained a total of 6 questions concerning 'Subutex' and 4 questions for the other products in the laboratory's 'allergy' range. The 'Subutex' survey was intended, to our knowledge, to collect information from pharmacies regarding the practices and needs of pharmacists related to the Buprenorphine / 'Subutex' market. In exchange for their participation, the pharmacist was offered remuneration. This remuneration was presented to pharmacists as a percentage of the turnover achieved to make it more meaningful or explicit for them. Pharmacists indeed participated in the questionnaires. This remuneration, added to the 2.5% discount on the invoice, corresponded to a total advantage between 5.5% and 10.5% (including the 2.5% discount)" (reference 16462).</w:t>
      </w:r>
    </w:p>
    <w:p>
      <w:r>
        <w:t>158. Regarding the content of the service rendered by the pharmacist, 53 of the 63 pharmacists surveyed during the investigation stated that they were solicited to place their orders as part of a direct sale, and acknowledged that all were offered, in addition to the legal discount of 2.5%, price reductions excluding tax, linked to thresholds or tiers, and taking the form of remuneration for a distinct service. Furthermore, very few of them provided details on the content of the service they were supposed to render, particularly regarding the content of the RIO survey.</w:t>
      </w:r>
    </w:p>
    <w:p>
      <w:r>
        <w:t>159. Only one pharmacist from Cannes explained that he had to respond orally to questions posed by Depolabo: "the specific service mentioned above was subject to a framework contract signed with Depolabo on 04/20/2006. The responses to the surveys and questionnaires, which were the subject of the service, were provided orally during the visit of the sales representative from Depolabo" (reference 2101).</w:t>
      </w:r>
    </w:p>
    <w:p>
      <w:r>
        <w:t>160. In this regard, Depolabo clarified that "the representatives took orders for 'Subutex' and offered pharmacists the opportunity to participate in a survey via a questionnaire in exchange for remuneration (...). In case of agreement, the representative collected the responses by entering them directly into his computer tool (laptop) and presented a corresponding application contract for signature to the concerned pharmacists" (reference 16461).</w:t>
      </w:r>
    </w:p>
    <w:p>
      <w:r>
        <w:t>161. Ms. Catherine H..., from Schering-Plough, detailed the 6 questions posed by Depolabo as part of the "RIO" survey:</w:t>
        <w:br/>
        <w:t>"1. What are your monthly rotations of Buprenorphine?</w:t>
        <w:br/>
        <w:t>2. What is the current proportion of your sales in Buprenorphine DC?</w:t>
        <w:br/>
        <w:t>3. In the context of dispensing Subutex, are you required to contact the prescribing physician?</w:t>
        <w:br/>
        <w:t>4. Do you encounter difficulties when dispensing Subutex?</w:t>
        <w:br/>
        <w:t>5. How many patients treated with Buprenorphine do you receive per week?</w:t>
        <w:br/>
        <w:t>6. Do you have patients receiving daily dispensing at the pharmacy?" (reference 17294).</w:t>
      </w:r>
    </w:p>
    <w:p>
      <w:r>
        <w:t>162. In a document related to its preparatory offer presented to Schering-Plough, Depolabo specifies that it "establishes 'pharmaceutical survey services' corresponding to distinct services from commercial cooperation" and that thus:</w:t>
        <w:br/>
        <w:t>"Each pharmacist client of DISTRIPHAR signs an annual framework contract for pharmaceutical services 2006</w:t>
        <w:br/>
        <w:t>Each Depolabo survey in which the pharmacist participates is necessarily subject to a distinct application contract specifying</w:t>
        <w:br/>
        <w:t>- the nature and content of the service</w:t>
        <w:br/>
        <w:t>- the terms of remuneration (amount, invoice issued before January 31)</w:t>
        <w:br/>
        <w:t>- the period concerned</w:t>
        <w:br/>
        <w:t>Before January 31 of each year, DEPOLABO sends a summary statement of the total amount of remuneration received by the pharmacies" (reference 15457).</w:t>
      </w:r>
    </w:p>
    <w:p>
      <w:r>
        <w:t>The justifications provided to the investigators of the DGCCRF</w:t>
      </w:r>
    </w:p>
    <w:p>
      <w:r>
        <w:t>163. During the investigation, the DGCCRF requested pharmacists to provide them with invoices related to purchases of Subutex® made from Depolabo in 2006. On this occasion, pharmacists submitted three types of documents:</w:t>
        <w:br/>
        <w:t>- invoices split into sales invoices for the products indicating a 2.5% discount on one hand, and credits representing an unspecified pharmaceutical service on the other hand (see notably references 1920 to 1923);</w:t>
        <w:br/>
        <w:t>- "framework contracts for pharmaceutical services" whose purpose defines the conditions of collaboration of the pharmacies and their participation in surveys and questionnaires, framework contracts that refer to application contracts that are not among the documents provided (references 792 to 822);</w:t>
        <w:br/>
        <w:t>- summary statements of the total amount of remuneration granted for distinct services for the past year (see notably reference 804).</w:t>
      </w:r>
    </w:p>
    <w:p>
      <w:r>
        <w:t>164. These documents attest to the fact that the remuneration for distinct services was indeed paid to community pharmacists during the purchases of Subutex® in the form of credits appearing on the invoice. These credits are determined based on the amount of the purchase of Subutex® by the pharmacist. There is therefore, on the invoice, a link between the quantities purchased and the remuneration for the service.</w:t>
      </w:r>
    </w:p>
    <w:p>
      <w:r>
        <w:t>165. However, none of the pharmacists submitted the application contracts related to the "framework contracts for pharmaceutical services." These application contracts were supposed to describe the services provided by the pharmacists and the terms of their remuneration as well as the period concerned. These contracts were also not provided by Depolabo after a request from the investigator (reference 1584).</w:t>
      </w:r>
    </w:p>
    <w:p>
      <w:r>
        <w:t>166. Depolabo clarified that "when the Dutreil law came into effect, pharmacists did not hesitate to regularize the annual framework contracts imposed by said law (a period of 2 months to regularize approximately 12,000 framework contracts). On the other hand, we had a lot of difficulty getting pharmacists to sign the application contracts who thought they were already bound by the framework contract and who had little time during visits to study them" (reference 16461).</w:t>
      </w:r>
    </w:p>
    <w:p>
      <w:r>
        <w:t>The duration of the discounts granted to pharmacists</w:t>
      </w:r>
    </w:p>
    <w:p>
      <w:r>
        <w:t>167. All of these discounts and remunerations were offered from January 2006 to August 1, 2006, the date of a DGCCRF investigation into the application of the Dutreil law in the pharmaceutical sector. This investigation led Schering-Plough to terminate these discounts and remunerations, as shown by handwritten notes from July 21, 2006, from Mr. Nicolas R... of Schering-Plough regarding a meeting with Depolabo which specify:</w:t>
        <w:br/>
        <w:t>Depolabo with SP:</w:t>
        <w:br/>
        <w:t>- Contract in 2001</w:t>
        <w:br/>
        <w:t>- RIO: service billed to SP by Depolabo</w:t>
        <w:br/>
        <w:t>(...)</w:t>
        <w:br/>
        <w:t>GP (Gilles M...) Stopped on August 1</w:t>
        <w:br/>
        <w:t>(reference 5511)</w:t>
      </w:r>
    </w:p>
    <w:p>
      <w:r>
        <w:t>168. In this regard, Depolabo confirmed this date by specifying that the RIO survey "lasted until July 31, 2006" (reference 16461).</w:t>
      </w:r>
    </w:p>
    <w:p>
      <w:r>
        <w:t>The payment terms</w:t>
      </w:r>
    </w:p>
    <w:p>
      <w:r>
        <w:t>169. Pharmacists also obtained favorable payment terms. Thus, in an email dated January 31, 2006, Ms. Monika S... from Schering-Plough indicates that "[i]n the context of our objectives regarding the sales of Subutex via Depolabo, we must adjust our payment terms.</w:t>
      </w:r>
    </w:p>
    <w:p>
      <w:r>
        <w:rPr>
          <w:b/>
        </w:rPr>
        <w:t>[Pages 40–42]</w:t>
      </w:r>
    </w:p>
    <w:p>
      <w:r>
        <w:t>En effet, pour accompagner la stratégie, nous devons accorder des conditions de règlement à 90 jours, au lieu des 60 jours habituels. Ce changement se traduira par reversement du chiffre d’affaires à 90 jours au lieu de 60. L’impact sera de 30 jours de délai supplémentaire sur 2.877.557 (euros) concernant les ventes de janvier. Depolabo doit réaliser environ 20 % des ventes Subutex. Je n’ai malheureusement pas le plan 2006 en CA mais vous devez l’avoir dans vos bases. Merci de chiffrer l’impact en termes de coût – frais financier et de me faire parvenir l’accord sur ce changement. Les ventes que nous réalisons pour DAP (clarityne, aérius et nasonex) ne sont pas concernées » (reference 5140).</w:t>
      </w:r>
    </w:p>
    <w:p>
      <w:r>
        <w:t>170. Par ailleurs, dans un cahier recueillant ses notes manuscrites, M. Nicolas R... indique le 2 février 2006 : Depolabo – délai de paiement : 90 j &gt; 200 boîtes qui ? Tous les paliers pourquoi ? grossiste 45 j fin mois (=60 j) Today SP vente directe 60 j fin mois (=75 j) (reference 5333)</w:t>
      </w:r>
    </w:p>
    <w:p>
      <w:r>
        <w:t>171. Enfin, les notes manuscrites de Mme Mélanie T..., datées du 13 janvier 2006, précisent : Réunion tel Pascal U... (…) 3) Paiement à 90 jours : arme pour ce type de stockage Conseillé dès 70 unités car il faut que le pharmacien stocke (le Gé va le faire à 120) Csqce pr SP : on encaissera à 90 j au lieu de 60 j. Certaines Phcies ont des fact à 90 jours /Depolabo Paliers : 70 boîtes (1) 200 boîtes (2) 350 boîtes Moyenne : 500 boîtes / commande Le 90 j se fait sur les grosses commandes Cible 1000 pharmacies qui ft + de 100 boîtes/mois Pour le pharmacien qui fait 70 boîtes = PS (Pascal U...) dit qu’il faut le proposer aussi commercialement parlant. SP pensait le faire sur le 3ème uniquement (references 7623 et 7624)</w:t>
      </w:r>
    </w:p>
    <w:p>
      <w:r>
        <w:t>172. Cet allongement des délais a été contractualisé entre Schering-Plough et Depolabo. Ainsi, l’avenant du 28 mars 2006 au contrat de 2001, avec effet rétroactif au 9 janvier 2006, prévoit que « les Parties ont conjointement décidé de remplacer les dispositions de l’article 7.1 “Échéances” du Contrat par le nouvel article figurant ci-après : Le reversement du chiffre d’affaires Pharmacies facturé par Depolabo sera effectué par Depolabo à Schering-Plough par traite à 60 (soixante) jours fin de mois. Toutefois, dans le cas où Schering-Plough souhaiterait mettre en place des échéances de règlement Pharmacies à 90 jours date à date (quatre-vingt-dix jours), les Parties conviennent que dans ce cas, le reversement du chiffre d’affaires Pharmacies facturé par Dépolabo pour les pharmacies ayant bénéficié de cette échéance particulière à la demande de Schering-Plough sera effectué par traite à 90 (quatre-vingt-dix) jours fin de mois » (reference 13647).</w:t>
      </w:r>
    </w:p>
    <w:p>
      <w:r>
        <w:t>173. L’allongement de ces délais de paiement est confirmé par plusieurs témoignages de pharmaciens (references 410, 425, 2101, 2334, 2407, 2699, 2772, 2793, 2998, 3030, 3084, 3126, 3236, 3354, et 3399). Un pharmacien à Paris relève ainsi avoir eu « une remise de 2,5 % habituelle et un délai de paiement de 90 jours fin de mois. C’est un délai très intéressant pour nous, comparé à une vente par l’intermédiaire de grossistes. Par mois un stock coûte 2,5 % de frais financiers en cas de paiement comptant. En revanche nous gagnons 2,5 % du coût de la marchandise lorsque le stock est vendu, le montant des remises se révèle finalement supérieur à 2,5 % » (reference 425).</w:t>
      </w:r>
    </w:p>
    <w:p>
      <w:r>
        <w:t>174. Ce délai de paiement a été maintenu jusqu’en mars 2006 (references 13201 et 16461). L’escompte pour paiement comptant</w:t>
      </w:r>
    </w:p>
    <w:p>
      <w:r>
        <w:t>175. Depolabo a par ailleurs indiqué « que pour tout paiement d’avance, les pharmacies bénéficiaient : - d’un escompte de 0,75 % pour un paiement à 10 jours ; - d’un escompte de 0,37 % pour un paiement à 30 jours » (reference 16461).</w:t>
      </w:r>
    </w:p>
    <w:p>
      <w:r>
        <w:t>176. Ainsi, les pharmaciens disposaient d’un avantage financier, qu’ils choisissent le paiement comptant ou différé. En effet, soit ils payaient à 90 jours et économisaient des frais financiers (évaluées à 2,5 % par mois par le pharmacien de Paris), soit ils payaient comptant et bénéficiaient d’un escompte de 0,75 % ou de 0,37 %.</w:t>
      </w:r>
    </w:p>
    <w:p>
      <w:r>
        <w:t>Les résultats de la politique commerciale</w:t>
      </w:r>
    </w:p>
    <w:p>
      <w:r>
        <w:t>177. Les notes manuscrites de Mme Mélanie T..., prises lors d’une réunion avec Depolabo, précisent que « [l]es 90 j nous ont permis de stocker pour 2,5 mois au réel » (reference 16688).</w:t>
      </w:r>
    </w:p>
    <w:p>
      <w:r>
        <w:t>178. Un courriel de M. Pascal U..., Depolabo, de janvier 2006 indique que « concernant le stockage et le bien fait ou non du 90 jours : je me base sur le fichier que je vous ai envoyé le 23/01 soit une base de 1 015 commandes. - 543 commandes sont issues de gros potentiels, c’est-à-dire qui ont déclaré dans notre enquête de décembre avoir une rotation mensuelle de 50 à 100 boîtes et 100 boîtes et + - 106 commandes sont issues de moyens potentiels, c’est-à-dire qui ont déclaré dans notre enquête de décembre avoir une rotation mensuelle moyenne de 20 à 50 boîtes ; - 365 commandes sont issues de potentiels ayant déclaré dans notre enquête de décembre avoir une rotation mensuelle inférieure à 20 : la commande pour ce groupe est de 55 unités ; Nous pouvons créer un sous-groupe comportant 240 commandes qui sont inférieures à 200 unités et dont la commande moyenne est de 58 unités. Dans la majorité des cas, les pharmaciens stockent de façon massive et le délai de paiement à 90 jours est utile. Son coût peut être évalué à 0,3 % du CA généré par mois » (reference 13661).</w:t>
      </w:r>
    </w:p>
    <w:p>
      <w:r>
        <w:t>179. Depolabo a transmis à la DGCCRF un tableau récapitulant, en pourcentage, les volumes et le chiffre d’affaires réalisés pour le 1er trimestre 2006 (reference 733) :</w:t>
      </w:r>
    </w:p>
    <w:p>
      <w:r>
        <w:t>180. Ce tableau montre qu’en valeur, les ventes directes de Subutex® au cours des trois premiers mois de l’année 2006 ont représenté un tiers des ventes totales de ce produit en ville. Un autre document transmis par Depolabo dresse le bilan du 1er semestre 2006 (reference 14200). Il apparaît donc que sur cette période un chiffre d’affaires de 17,3 millions d’euros a été généré.</w:t>
      </w:r>
    </w:p>
    <w:p>
      <w:r>
        <w:t>181. Les ventes directes de Depolabo, concentrées sur 2 090 pharmacies en France parmi les 8 000 qui commercialisaient Subutex® (soit 23,4 % du total), ont donc représenté en valeur plus de 30 % de l’ensemble des ventes de ce médicament dans les premiers mois de l’année 2006 : 33,31 % en janvier, 34,62 % en février et 32,29 % en mars.</w:t>
      </w:r>
    </w:p>
    <w:p>
      <w:r>
        <w:t>182. À lui seul, Depolabo a vendu 2 fois plus d’unités de Subutex® qu’Arrow de son générique en avril, puis quatre fois plus en mai et en juin (reference 8064).</w:t>
      </w:r>
    </w:p>
    <w:p>
      <w:r>
        <w:t>c) La communication de Schering-Plough sur Buprénorphine Arrow®</w:t>
      </w:r>
    </w:p>
    <w:p>
      <w:r>
        <w:t>183. À titre liminaire, il convient de rappeler que deux responsables de l’AFSSAPS ont déclaré qu’un débat avait eu lieu entre les participants à la réunion du 28 avril 2005 relative à l’évaluation de Buprénorphine Arrow® dans le cadre de sa demande d’AMM et en particulier sur son mésusage éventuel lié à sa plus grande solubilité. Le compte-rendu de cette réunion précise que « [l]a composition en excipients de la Buprénorphine Ethypharm 8 mg peut faire craindre un plus grand risque d’injection de cette forme. Sa plus faible teneur en excipients par rapport aux autres dosages de Buprénorphine Ethypharm (92 % versus 99.8 % pour le 0.4 mg et 98 % pour le 2 mg) et au Subutex 8 mg (101 mg versus 391 mg dans un comprimé de Subutex) pourrait en effet réduire les complications liées à l’injection » (reference 5138).</w:t>
      </w:r>
    </w:p>
    <w:p>
      <w:r>
        <w:t>184. Mme Nathalie V..., chef du département stupéfiants et psychotropes à l’ANSM, a indiqué que « [l]e générique, pour le dosage 8 mg, comporte quantitativement moins d’excipients, ce qui le rend plus soluble. Cette solubilité augmentée pouvait potentiellement entraîner un risque accru de mésusage par voie intraveineuse » (reference 17298).</w:t>
      </w:r>
    </w:p>
    <w:p>
      <w:r>
        <w:t>185. M. W..., président de la commission des stupéfiants et des psychotropes à l’AFSSAPS, et rapporteur lors de la réunion du 28 avril 2005, a précisé qu’au cours de cette « réunion s’est posée la question de l’injectabilité du générique qui avait moins d’excipients.</w:t>
      </w:r>
    </w:p>
    <w:p>
      <w:r>
        <w:rPr>
          <w:b/>
        </w:rPr>
        <w:t>[Pages 43–45]</w:t>
      </w:r>
    </w:p>
    <w:p>
      <w:r>
        <w:t>(notably for the 8 mg) and which dissolved faster than the reference product. This was a normal questioning about a product, which always occurs during the commission meetings. As a scientist, I believe it is normal to ask all possible questions, without necessarily drawing practical consequences from them (...) But I must clarify that this questioning about injectability – which concerns only a small portion of patients – did not prevent the granting of the marketing authorization for the generic" (reference 17123).</w:t>
      </w:r>
    </w:p>
    <w:p>
      <w:r>
        <w:t>Communication before the market launch of the generic</w:t>
      </w:r>
    </w:p>
    <w:p>
      <w:r>
        <w:t>Statements from Schering-Plough</w:t>
      </w:r>
    </w:p>
    <w:p>
      <w:r>
        <w:t>186. The investigation services of the Authority requested Schering-Plough to provide the medical studies that could demonstrate the existence of a particular risk related to the absence of impurity in the generic. Schering-Plough responded that it did not have "medical studies relating to the risk associated with the absence of impurity in the generic" (reference 13406).</w:t>
      </w:r>
    </w:p>
    <w:p>
      <w:r>
        <w:t>The dissemination of discourse on misuse by Schering-Plough to healthcare professionals</w:t>
      </w:r>
    </w:p>
    <w:p>
      <w:r>
        <w:t>187. Despite the absence of concrete elements regarding the existence of a risk of misuse related to the greater solubility of the generic, a discourse on this risk was developed by Schering-Plough starting in February 2006.</w:t>
      </w:r>
    </w:p>
    <w:p>
      <w:r>
        <w:t>♦ The press conference of February 15, 2006</w:t>
      </w:r>
    </w:p>
    <w:p>
      <w:r>
        <w:t>188. A press conference concerning the arrival of the generics of Subutex®, scheduled for March 30, 2006, was organized by Schering-Plough shortly before, on February 15, 2006.</w:t>
      </w:r>
    </w:p>
    <w:p>
      <w:r>
        <w:t>189. Preparatory notes, dated February 13, 2006, from Ms. Mélanie T..., product manager for Subutex®, outline the main points of the discourse that Schering-Plough officials should present during this press conference:</w:t>
        <w:br/>
        <w:t>Press conference Q&amp;A</w:t>
        <w:br/>
        <w:t>On the risks of injection of Arrow</w:t>
        <w:br/>
        <w:t>GP (Gilles M...) would not respond</w:t>
        <w:br/>
        <w:t>Nothing to say for now</w:t>
        <w:br/>
        <w:t>Sow doubt</w:t>
        <w:br/>
        <w:t>Φ position on the question of the Generic</w:t>
        <w:br/>
        <w:t>Worried about the risks of misuse</w:t>
        <w:br/>
        <w:t>Because of a PGR request on a product for 10 years</w:t>
        <w:br/>
        <w:t>Because (the risk of injection) is linked to the Generic</w:t>
        <w:br/>
        <w:t>Alarm on misuse</w:t>
        <w:br/>
        <w:t>(reference 16660)</w:t>
      </w:r>
    </w:p>
    <w:p>
      <w:r>
        <w:t>190. Following this conference, the Medical Press Agency (APM Media) issued a press release titled "Schering-Plough is concerned about a degradation of the public health impact of buprenorphine with the arrival of a generic of Subutex." This press release repeatedly cites statements from Schering-Plough officials made during this conference (references 4239 and 4240).</w:t>
      </w:r>
    </w:p>
    <w:p>
      <w:r>
        <w:t>191. In this press release, it is stated that the Schering-Plough laboratory "fears that the arrival of a generic of its opioid substitution treatment Subutex (buprenorphine) will lead to a degradation of the public health impact of the drug." The reading of this press release reveals the similarity of the arguments developed by Schering-Plough on this occasion with those communicated to health authorities.</w:t>
      </w:r>
    </w:p>
    <w:p>
      <w:r>
        <w:t>192. Firstly, Schering-Plough highlights the risk management plan that Arrow must follow and expresses doubts about its ability to comply. This plan would also reflect the suspicions of health authorities regarding this generic, whereas in reality such a plan was also imposed on Schering-Plough. This plan was indeed decided due to the increase in trafficking observed before the arrival of the generic.</w:t>
      </w:r>
    </w:p>
    <w:p>
      <w:r>
        <w:t>193. Secondly, Schering-Plough indicates that it will be "very vigilant about anything concerning misuse" (reference 4239). It indeed states that "[t]here are not only side effects, there are also deviant practices, sniffing, injection" (reference 4239). According to this company, these practices are expected to increase due to the marketing of the generic. This statement was made while Schering-Plough was already experiencing misuse of its medication.</w:t>
      </w:r>
    </w:p>
    <w:p>
      <w:r>
        <w:t>194. Thirdly, Schering-Plough, by stating that it wonders "whether the perception of prescribers and users will be strictly identical or different with a generic compared to Subutex (...) the generic may be experienced differently by drug addicts," invokes the risk of destabilization of the patient (reference 4239). In this regard, it should be noted the prior studies commissioned by Schering-Plough that concluded on the high substitution to which pharmacists were willing to proceed.</w:t>
      </w:r>
    </w:p>
    <w:p>
      <w:r>
        <w:t>195. As indicated in an internal email from Schering-Plough, this press release is intended to be used by its representatives to "respond to questions/objections from interlocutors" while waiting for an ad hoc argumentation to be developed (reference 13801). In fact, the press release contains the elements of a discourse intended to be widely disseminated to healthcare professionals (doctors and pharmacists).</w:t>
      </w:r>
    </w:p>
    <w:p>
      <w:r>
        <w:t>196. These professionals were also informed by the discourse of medical and pharmaceutical representatives who met in Cannes the previous month.</w:t>
      </w:r>
    </w:p>
    <w:p>
      <w:r>
        <w:t>♦ The Cannes seminar</w:t>
      </w:r>
    </w:p>
    <w:p>
      <w:r>
        <w:t>197. In anticipation of a seminar held in Cannes in early January 2006, which brought together medical visitors, Schering-Plough prepared a presentation on December 19, 2005, intended to explain to them how to act in pharmacies to "limit the penetration of the generic" (references 8607 and following). A slide from this presentation specifies the modalities of this action with pharmacies. It discusses "instilling a certain 'fear' of change (psychiatric comorbidities, risk of misuse and trafficking)" (reference 8609).</w:t>
      </w:r>
    </w:p>
    <w:p>
      <w:r>
        <w:t>198. It should be recalled that the national commission on narcotics and psychotropics indicated on April 28, 2005, that "the consequences" of the marketing of the generic on "the accessibility of the product and the existence of trafficking are not known" (reference 5139).</w:t>
      </w:r>
    </w:p>
    <w:p>
      <w:r>
        <w:t>199. Regarding the anticipated penetration rate of Subutex® generics, a slide mentions a market share of 35% after 12 months (reference 8609). Another slide provides the penetration rates after 12 months of two drugs belonging to the same therapeutic class CNS (Central Nervous System) and compares them to those of Mopral: these are Prozac®, with a market share of 48.5%, and Stilnox®, with a market share of 48.5% (reference 8608).</w:t>
      </w:r>
    </w:p>
    <w:p>
      <w:r>
        <w:t>♦ The advice of a regional director to his representatives for their discourse to pharmacists</w:t>
      </w:r>
    </w:p>
    <w:p>
      <w:r>
        <w:t>200. The minutes of a telephone meeting on January 13, 2006, between a regional director of Schering-Plough and representatives also testify to the discourse that Schering-Plough disseminates: "Generic Arrow: for those who talk to you about it (and only for them), you must start to dissuade them from making this generic significantly because drug-addicted patients are not easy to manage and to substitute with a generic (a non-psychotropic generic is refused by 40% of patients, it is worse for psychotropic products and it will be even worse for Subutex given the profile of the patients), because we have certainly been hearing about the generic for a long time, but we still do not know when it will be released, because (if the narcotic transition has been mentioned previously) it will be difficult for them to manage Subutex and the generic when the narcotic transition occurs, because it is strange to have only one laboratory launching a Subutex generic (and moreover a small lab) while all generic labs launched the Mopral generic at the same time, which clearly shows that it will not be easy to substitute Subutex, as pharmacists will have to expend a lot of energy to change patients to the generic while in 9 months we will launch 2 major products and then they will have to change the medication again,... In short, many arguments, but especially to be used with mastery and to see the pharmacist's reaction to each argument to see which one resonates" (references 15449 and 15550).</w:t>
      </w:r>
    </w:p>
    <w:p>
      <w:r>
        <w:t>♦ The Q&amp;A session of February – March 2006</w:t>
      </w:r>
    </w:p>
    <w:p>
      <w:r>
        <w:t>201. The "argumentation" intended for the "sales forces," medical visitors, and pharmaceutical representatives, consists of a list of questions/answers on Subutex® and the generic (reference 15605). A first draft is prepared in February 2006, a second in March, and addresses the theme of the increase in misuse and "trafficking," as indicated by the following excerpts: "We have just learned of the imminent marketing of a Subutex generic, what do you think Schering-Plough? (...) If we consider it from a purely short-term economic point of view, the Subutex generic may present an advantage for some, but from a public health perspective, it seems that this is not the case. Everything suggests that the introduction of this generic could disrupt the benefit-risk balance of buprenorphine with a...</w:t>
      </w:r>
    </w:p>
    <w:p>
      <w:r>
        <w:rPr>
          <w:b/>
        </w:rPr>
        <w:t>[Pages 46–48]</w:t>
      </w:r>
    </w:p>
    <w:p>
      <w:r>
        <w:t>un impact sur la santé des patients” » (cote 17200).</w:t>
      </w:r>
    </w:p>
    <w:p>
      <w:r>
        <w:t>222. Un médecin de la région de Lille a également rapporté que « lors d’une réunion, un délégué médical de Schering-Plough a mentionné que le générique contenait des excipients qui pouvaient poser des problèmes en cas d’injection » (cote 18456).</w:t>
      </w:r>
    </w:p>
    <w:p>
      <w:r>
        <w:t>223. Ces témoignages corroborent l’idée que le discours de Schering-Plough sur les risques associés au générique a été largement diffusé parmi les médecins et les pharmaciens, influençant ainsi leur perception et leur comportement vis-à-vis de la prescription et de la substitution de Subutex® par son générique.</w:t>
      </w:r>
    </w:p>
    <w:p>
      <w:r>
        <w:rPr>
          <w:b/>
        </w:rPr>
        <w:t>[Pages 49–51]</w:t>
      </w:r>
    </w:p>
    <w:p>
      <w:r>
        <w:t>already posed problems.” The doctor tried to obtain additional information about the “problems” mentioned without receiving a response” (reference 19359).</w:t>
      </w:r>
    </w:p>
    <w:p>
      <w:r>
        <w:t>222. Furthermore, the CNAMTS forwarded the testimony of a doctor, a member of the local medical service placed with the CPAM of the Vosges department, who stated: “Several meetings were organized by the Schering-Plough laboratory in the department, including one in April or May 2006, which consisted of a general invitation to all doctors in the department, including private and hospital practitioners involved in the care of patients with opioid addiction. Members and doctors from the CSST of the department were also present. (…) I accompanied my chief physician at the time to this meeting. It took place in a restaurant. The room was full, filled with doctors and pharmacists: probably about a hundred people were present. The Schering-Plough laboratory was represented by two people accompanied by a hospital practitioner, known in the region for his involvement in opioid addictions. The two people from the laboratory were a medical visitor and a regional manager. Initially, there was a general presentation of addictions and the action of Subutex. In a second phase, two concepts were presented that compelled me to express my disapproval. These two concepts were highlighted by the laboratory under the cover of the hospital practitioner who not only relayed them but also argued them. The first concept was to inform the audience present that the generic buprenorphine dissolves more slowly than Subutex and that since it is more dangerous to inject than Subutex, Subutex should be preferred on prescriptions. I countered this assertion. Many doctors in the room, including those from the CSST supported my response. (…) I left this meeting with a very clear feeling of an attempt at manipulation by the laboratory on a departmental scale. A month later, the laboratory, having noted the strong opposition of the Medical Control Service of the department to the content of the messages issued, requested to meet with us, the chief physician and myself. The chief physician agreed to meet them. During this meeting, our response remained constant: “TSOs should not be injected. If that is the case, another response must be provided other than the one you are giving.” This request for a meeting demonstrated to us that it was indeed a message from Schering-Plough and not a message from the hospital practitioner. During the meeting, the laboratory had highlighted the hospital practitioner, but during the appointment at medical control, it became clear that the message was that of the laboratory. There were several attempts by the Schering-Plough laboratory to contact me in the following six months, which I systematically declined” (references 17551 to 17553).</w:t>
      </w:r>
    </w:p>
    <w:p>
      <w:r>
        <w:t>223. The recommendation to “prefer Subutex on prescriptions” translates into the addition of the mention “non-substitutable” or “NS” on prescriptions so that the doctor prescribing Subutex® can be assured that the pharmacist will not proceed with substitution.</w:t>
      </w:r>
    </w:p>
    <w:p>
      <w:r>
        <w:t>The statements of pharmacists</w:t>
      </w:r>
    </w:p>
    <w:p>
      <w:r>
        <w:t>224. The statements of pharmacists attest that doctors have been targeted by Schering-Plough's communication regarding the generic Subutex®.</w:t>
      </w:r>
    </w:p>
    <w:p>
      <w:r>
        <w:t>225. Thus, a pharmacist from Clermont-Ferrand indicated that a representative of Schering-Plough “stated that there were additional excipients in buprenorphine ARROW which could pose difficulties for patients who inject this product (…) He told me he would do everything to prevent me from developing generic buprenorphine in my pharmacy. One way to achieve his ends was to try to influence my principal prescriber of buprenorphine. I assume that SCHERING-PLOUGH managed to influence the local Specialized Addiction Treatment Center, which has long indicated on its prescriptions ‘Subutex non-substitutable’” (references 410 and 411).</w:t>
      </w:r>
    </w:p>
    <w:p>
      <w:r>
        <w:t>226. A pharmacist from Toulon stated that they have “never substituted a generic for Subutex for the good reason that my prescribers do not wish for there to be substitution and clearly indicate this on the prescriptions. To my knowledge, it is the only product for which there is resistance from doctors to substitute. In fact, the presence of talc in the generic gives it a dangerous character in case of injection, as talc is water-soluble” (reference 2174).</w:t>
      </w:r>
    </w:p>
    <w:p>
      <w:r>
        <w:t>227. A pharmacist from Lille observes that “substitution does not go very well with Subutex. Some doctors write ‘non-substitutable’ on their prescriptions (about 2 out of 10)” (reference 2412).</w:t>
      </w:r>
    </w:p>
    <w:p>
      <w:r>
        <w:t>228. These various statements have been confirmed by other pharmacists (references 2282, 2319, and 2700). Furthermore, several documents report the existence of prescriptions containing the mention “buprenorphine without talc or silica.”</w:t>
      </w:r>
    </w:p>
    <w:p>
      <w:r>
        <w:t>229. Thus, an email dated May 30, 2006, from Ms. Mélanie T... indicates that “[c]oncerning this prescription ‘buprenorphine without talc or silica,’ this fact has indeed been reported to me in the Eastern region” (reference 15231).</w:t>
      </w:r>
    </w:p>
    <w:p>
      <w:r>
        <w:t>230. Moreover, a report from the internal meeting of May 22, 2006, notes a “report of prescription ‘buprenorphine without talc’” (reference 4789). Upon receiving this report, Ms. Mélanie T..., in the aforementioned email dated May 30, 2006, addressed to several executives of Schering-Plough, including the CEO, insists to them that “I have never asked our sales force to make such statements to the medical community, whatever it may be, and on the contrary, I have, at every regional meeting, specified that we as a laboratory must have an ethical discourse regarding our competitor and that we must absolutely not disparage it on any point (the presence of the 2 additional excipients is indeed mentioned by the delegates, factually, but they have been asked not to draw any conclusions, having no clinical study or other on which to rely)” (reference 15231).</w:t>
      </w:r>
    </w:p>
    <w:p>
      <w:r>
        <w:t>231. Furthermore, handwritten notes from Mr. Nicolas R... dated May 22, 2006, also refer to these prescriptions:</w:t>
        <w:br/>
        <w:t>22/5: GPS</w:t>
        <w:br/>
        <w:t>Pb “Bupre without talc”: unfair strategy?</w:t>
        <w:br/>
        <w:t>Ask doctors “non-substitutable”</w:t>
        <w:br/>
        <w:t>See with GP (Gilles M...)</w:t>
        <w:br/>
        <w:t>(reference 5450)</w:t>
      </w:r>
    </w:p>
    <w:p>
      <w:r>
        <w:t>♦ The discourse relayed in medical forums</w:t>
      </w:r>
    </w:p>
    <w:p>
      <w:r>
        <w:t>232. The communication regarding the generic Subutex® was also made in medical forums.</w:t>
      </w:r>
    </w:p>
    <w:p>
      <w:r>
        <w:t>233. Thus, on the occasion of the Pharmagora fair in April 2006, a professional fair for the information of pharmacists, Schering-Plough commissioned a doctor, Dr. 3..., to inform pharmacists about the “disadvantages” of the generic. An email dated February 21, 2006, from Mr. Éric 2... to Mr. Nicolas R... specifies that “during this meeting we will have Dr. 3... from Thionville who is okay to talk about the generic and has been briefed to give all the disadvantages to the pharmacists present” (reference 13888).</w:t>
      </w:r>
    </w:p>
    <w:p>
      <w:r>
        <w:t>234. Schering-Plough also uses the relay of “KOLs” or “key opinion leaders” to disseminate a discourse on the generic Subutex®. Thus, a medical delegate from Schering-Plough stated that “[o]ccasionally we organize information meetings with professionals in our sector (geographical). We have in our sector opinion leaders, who are professionals recognized nationally or internationally for their knowledge and experience in the field of addiction, who will lead these meetings” (reference 1608). Ms. Mélanie T... thus wrote “KOL pharma leaders: campus and pragma to mobilize minds on the risk of injecting Arrow” (reference 16680).</w:t>
      </w:r>
    </w:p>
    <w:p>
      <w:r>
        <w:t>The commencement and cessation of the observed facts</w:t>
      </w:r>
    </w:p>
    <w:p>
      <w:r>
        <w:t>235. The dissemination of a discourse on the generic Subutex® began at least on February 15, 2006, during the press conference of Schering-Plough.</w:t>
      </w:r>
    </w:p>
    <w:p>
      <w:r>
        <w:t>236. The holding of this discourse continued into May 2006, as evidenced by numerous internal emails from Schering-Plough previously mentioned.</w:t>
      </w:r>
    </w:p>
    <w:p>
      <w:r>
        <w:t>237. The commercial practices were implemented starting in January 2006. They lasted until the end of July 2006, the date of the DGCCRF investigation, as confirmed by Depolabo.</w:t>
      </w:r>
    </w:p>
    <w:p>
      <w:r>
        <w:t>d) The ex post evaluation of its strategy by Schering-Plough</w:t>
      </w:r>
    </w:p>
    <w:p>
      <w:r>
        <w:t>238. In a presentation made in Madrid dated September 11, 2006, the CEO of Schering-Plough outlines the results of the strategy implemented in France (references 15037 and following).</w:t>
      </w:r>
    </w:p>
    <w:p>
      <w:r>
        <w:t>239. He presents the commercial policy towards pharmacists, described as “aggressive” (“[a]ggressive SP commercial policy in the pharmacies,” reference 15040). The communication strategy is presented as aiming to exert “indirect influence through doctors and pharmacists” by highlighting the “differences between Subutex and the generic (size, excipients, taste?)” (“[i]ndirect influence through doctors and pharmacists” and “differences between Subutex and the generic (size, excipients, taste?),” reference 15041).</w:t>
      </w:r>
    </w:p>
    <w:p>
      <w:r>
        <w:t>240. Furthermore, this presentation, subsequent to the observed facts, includes a graph showing the evolution of market shares following the marketing of a generic with the “reference” or “benchmark” being the drug Prozac® (reference 15042 and paragraph 116).</w:t>
      </w:r>
    </w:p>
    <w:p>
      <w:r>
        <w:rPr>
          <w:b/>
        </w:rPr>
        <w:t>[Pages 52–54]</w:t>
      </w:r>
    </w:p>
    <w:p>
      <w:r>
        <w:t>241. In conclusion, it is stated that sales amounted to 62.9 million euros from January to August 2006, which is 34% higher than the set target. Thus, the annual sales targets were achieved as early as August.</w:t>
      </w:r>
    </w:p>
    <w:p>
      <w:r>
        <w:t>D. REMINDER OF THE GRIEVANCES</w:t>
      </w:r>
    </w:p>
    <w:p>
      <w:r>
        <w:t>242. By letters dated November 15, 2012, the General Rapporteur of the Authority notified, on the one hand, the following three grievances to the companies Schering-Plough SAS, Financière MSD SAS, and Merck &amp; Co, and, on the other hand, the third and final grievance to the companies Reckitt Benckiser Healthcare (UK) Ltd and Reckitt Benckiser plc.</w:t>
      </w:r>
    </w:p>
    <w:p>
      <w:r>
        <w:t>"Grievance No. 1</w:t>
      </w:r>
    </w:p>
    <w:p>
      <w:r>
        <w:t>It is alleged against the company Schering-Plough, as well as the company Financière MSD and the company Merck &amp; Co, that they abused their dominant position in the French market for high-dose buprenorphine in the community by denigrating the generic high-dose buprenorphine of Arrow generic between February 2006 and May 2006. This practice had the object and effect of limiting access to the market for the generic high-dose buprenorphine of Arrow generic in the French market for high-dose buprenorphine in the community. This practice is prohibited by the provisions of Articles L. 420-2 of the Commercial Code and 102 of the TFEU.</w:t>
      </w:r>
    </w:p>
    <w:p>
      <w:r>
        <w:t>Grievance No. 2</w:t>
      </w:r>
    </w:p>
    <w:p>
      <w:r>
        <w:t>It is alleged against the company Schering-Plough, as well as the company Financière MSD and the company Merck &amp; Co, that they abused their dominant position in the French market for high-dose buprenorphine in the community by granting community pharmacists financial advantages of a loyalty nature, including remuneration for distinct services, without any economic counterpart justifying them, between January 2006 and the end of July 2006. This practice had the object and effect of restricting the choices available to community pharmacists regarding their sources of supply for high-dose buprenorphine and blocking access to the market for generic manufacturers. This practice is prohibited by the provisions of Articles L. 420-2 of the Commercial Code and 102 of the TFEU.</w:t>
      </w:r>
    </w:p>
    <w:p>
      <w:r>
        <w:t>Grievance No. 3</w:t>
      </w:r>
    </w:p>
    <w:p>
      <w:r>
        <w:t>It is alleged against the company Schering-Plough, as well as the company Financière MSD and the company Merck &amp; Co, on the one hand, and against the company Reckitt Benckiser Healthcare (UK) Ltd, and the company Reckitt Benckiser plc, on the other hand, that they participated in a complex and continuous agreement in the French market for high-dose buprenorphine in the community, between October 2005 and the end of July 2006, aimed at hindering access of generic Subutex medicines to the French market for high-dose buprenorphine in the community, by implementing agreements or concerted practices consisting of:</w:t>
        <w:br/>
        <w:t>- denigrating the generic high-dose buprenorphine of Arrow generic;</w:t>
        <w:br/>
        <w:t>- granting community pharmacists financial advantages of a loyalty nature, including remuneration for distinct services, without any economic counterpart justifying them.</w:t>
        <w:br/>
        <w:t>These practices had the object or effect of limiting access to the market for the generic high-dose buprenorphine of Arrow generic in the French market for high-dose buprenorphine in the community. These practices are prohibited by Article L. 420-1 of the Commercial Code and by Article 101 of the Treaty on the Functioning of the European Union."</w:t>
      </w:r>
    </w:p>
    <w:p>
      <w:r>
        <w:t>E. IMPLEMENTATION OF III OF ARTICLE L. 464-2 OF THE COMMERCIAL CODE</w:t>
      </w:r>
    </w:p>
    <w:p>
      <w:r>
        <w:t>243. Schering-Plough, Financière MSD, and Merck &amp; Co, who were recipients of the notification of grievances, requested the benefit of the provisions of III of Article L. 464-2 of the Commercial Code, which states: "When an organization or company does not contest the reality of the grievances notified to it, the General Rapporteur may propose to the Competition Authority, which hears the parties and the Government Commissioner without prior establishment of a report, to impose the monetary sanction provided for in I, taking into account the absence of contestation. In this case, the maximum amount of the sanction incurred is reduced by half. When the company or organization also commits to modifying its behavior for the future, the General Rapporteur may propose to the Competition Authority to take this into account as well in determining the amount of the sanction."</w:t>
      </w:r>
    </w:p>
    <w:p>
      <w:r>
        <w:t>244. The implementation of these provisions led to the establishment of a report signed on February 14, 2013, by which Schering-Plough, Financière MSD, and Merck &amp; Co declared that they did not contest the notified grievances, on the one hand, and proposed commitments, on the other hand.</w:t>
      </w:r>
    </w:p>
    <w:p>
      <w:r>
        <w:t>245. To take into account the non-contestation of the grievances and the proposed commitments, the Deputy General Rapporteur proposed that the monetary sanction incurred, if applicable, by Schering-Plough, Financière MSD, and Merck &amp; Co be reduced by up to 20% of the amount that would normally have been imposed on them.</w:t>
      </w:r>
    </w:p>
    <w:p>
      <w:r>
        <w:t>II. Discussion</w:t>
      </w:r>
    </w:p>
    <w:p>
      <w:r>
        <w:t>A. ON THE REGULARITY OF THE PROCEDURE</w:t>
      </w:r>
    </w:p>
    <w:p>
      <w:r>
        <w:t>1. REGARDING THE PRESCRIPTION</w:t>
      </w:r>
    </w:p>
    <w:p>
      <w:r>
        <w:t>a) Applicable law</w:t>
      </w:r>
    </w:p>
    <w:p>
      <w:r>
        <w:t>246. Under Article L. 462-7 of the Commercial Code, "the Authority cannot be seized of facts dating back more than five years if no act has been made aimed at their investigation, verification, or sanction."</w:t>
      </w:r>
    </w:p>
    <w:p>
      <w:r>
        <w:t>247. According to case law, the operations of inspection and seizure that constitute acts of investigation and verification of facts that may constitute prohibited anti-competitive practices interrupt the prescription of the facts of which the Authority is seized, as do the appeals filed against the decisions authorizing said operations or rejecting requests aimed at their annulment (judgment of the Court of Cassation of March 6, 2007, Demathieu and Bard et al., No. 06-13501).</w:t>
      </w:r>
    </w:p>
    <w:p>
      <w:r>
        <w:t>248. Furthermore, the judge has drawn from the in rem nature of the Authority's seizure consequences relating both to the facts interrupting prescription and to the parties and companies with respect to which the interruption of prescription may be exercised.</w:t>
      </w:r>
    </w:p>
    <w:p>
      <w:r>
        <w:t>249. Regarding the facts interrupting prescription, the Court of Appeal held that the Council, which is not bound by the requests and qualifications of the seizing party, may, without having to seize ex officio, retain the practices revealed by the investigations it conducted following its seizure, which, although not expressly mentioned therein, have the same object or effect (judgment of January 30, 2007, Le Foll TP et al., No. 06/00566, p. 8). Furthermore, facts that have been the subject of a seizure by the Authority are interruptive of prescription with respect to the parties before the practices they reveal are qualified: "But considering (...) that the Council was seized of a set of facts, presented a priori as an abuse of dominant position (...) it follows that, the Competition Council being seized in rem, the prescription has been interrupted, for all these facts and with respect to all the sanctioned companies (...) even before the practices in question are qualified with respect to both Article L 420-1 and Article L 420-2 of the Commercial Code in the context of the notification of grievances" (judgment of the Paris Court of Appeal of April 4, 2006, company Les Établissements horticoles Georges Truffaut et al., No. 2005/14 057, p. 7).</w:t>
      </w:r>
    </w:p>
    <w:p>
      <w:r>
        <w:t>250. In a decision that has become final, the Authority also indicated that when an infringement sanctioned according to procedural rules distinct from those that penalize the practices referred to in the seizure, the prescription is not interrupted with respect to this infringement: this is the case of non-compliance with an injunction, penalized by the provisions of Article L. 464-3 of the Commercial Code while the sanction of anti-competitive practices is governed by the provisions of Article L. 464-2 of the Commercial Code. (decision No. 10-D-12 of April 15, 2010, regarding practices implemented by the company Hypromat France SAS in the high-pressure car wash sector, paragraph 58).</w:t>
      </w:r>
    </w:p>
    <w:p>
      <w:r>
        <w:rPr>
          <w:b/>
        </w:rPr>
        <w:t>[Pages 55–57]</w:t>
      </w:r>
    </w:p>
    <w:p>
      <w:r>
        <w:t>b) Arguments of the parties</w:t>
      </w:r>
    </w:p>
    <w:p>
      <w:r>
        <w:t>251. Reckitt Benckiser Healthcare Limited and Reckitt Benckiser plc argue that the facts are time-barred with respect to Reckitt Benckiser since August 1, 2011, in the absence of any investigative act that could validly interrupt the limitation period.</w:t>
      </w:r>
    </w:p>
    <w:p>
      <w:r>
        <w:t>252. They indeed assert that the alleged collusion with Schering-Plough attributed to Reckitt Benckiser is different from the abuse of dominant position committed by Schering-Plough, which led to the Authority being seized by Arrow, and does not rely on the same facts. To justify this difference, they invoke the absence of Reckitt Benckiser in the high-dose buprenorphine market, where the practices attributed to Schering-Plough were observed, and the difference in the duration of the infringements considered for the collusion and the abuse of dominant position.</w:t>
      </w:r>
    </w:p>
    <w:p>
      <w:r>
        <w:t>253. They deduce that the investigative measures taken between the referral to the Council on November 13, 2006, and August 1, 2011, which only concerned the abuse committed by Schering-Plough in the high-dose buprenorphine market, cannot interrupt the limitation period with respect to Reckitt Benckiser regarding the collusion grievance. In particular, the contractual relationship between Reckitt Benckiser and Schering-Plough was never invoked during the procedures related to the search and seizure operations carried out at Schering-Plough's headquarters on January 18, 2007, and the precautionary measures, even though the investigation services had the seized documents from Schering-Plough indicating the existence of a contract between Reckitt Benckiser and Schering-Plough. The investigation services also did not seek to know the content of said contract. The first investigative act targeting Reckitt Benckiser would be a request for information sent to Schering-Plough on September 23, 2011, more than five years after the end of the alleged collusion.</w:t>
      </w:r>
    </w:p>
    <w:p>
      <w:r>
        <w:t>c) Assessment in the case at hand</w:t>
      </w:r>
    </w:p>
    <w:p>
      <w:r>
        <w:t>254. In this case, the limitation period began to run on the day the practices ceased, namely December 9, 2005 (see paragraph 443 of this decision).</w:t>
      </w:r>
    </w:p>
    <w:p>
      <w:r>
        <w:t>255. The Competition Authority was seized on November 3, 2006, by Arrow regarding facts presented as an abuse of dominant position by Schering-Plough against it in the market for the retail distribution of Subutex®. However, these facts are interruptive of the limitation period with respect to the parties before the practices they reveal are qualified.</w:t>
      </w:r>
    </w:p>
    <w:p>
      <w:r>
        <w:t>256. During the procedure, the limitation period was interrupted on the day the Authority was seized, on November 3, 2006, and then several times, notably with the search and seizure operation on July 18, 2007, at Schering-Plough's headquarters, the decisions rendered on appeals against the search and seizure operations, namely the orders of the judges of July 17, 2007, and March 4, 2010, and then the rulings of the Court of Cassation of May 20, 2009, and June 29, 2011. From the latter ruling of the Court of Cassation, the period then began to run again, but it was interrupted again by the investigation of the file and notably by the request for information sent by the rapporteur to Schering-Plough on September 27, 2011, which concerned Reckitt Benckiser, since information was requested about the contract between Reckitt Benckiser and Schering-Plough. It should be noted that the seals of the documents were only handed over to the Authority after the order of March 4, 2010, and at the end of the restitution procedure that took place in the second half of 2010, and that the Authority could only use them after the ruling of June 29, 2011, ruling on the appeal filed by Schering-Plough against the order of March 4, 2010.</w:t>
      </w:r>
    </w:p>
    <w:p>
      <w:r>
        <w:t>257. However, in light of the documents seized at Schering-Plough and following the request for information sent by the rapporteur to this company on September 23, 2011, regarding the contract between Reckitt Benckiser and Schering-Plough, the investigation services discovered the existence of a prior agreement between it and its supplier, Reckitt Benckiser, which by nature was secret and could not be known to the complainant or the judge authorizing the search and seizure operations. The abuse of dominant position by Schering-Plough in the high-dose buprenorphine market was prepared by this agreement, which therefore relates to the same facts as this first practice. Seized of a set of facts, the Authority considers, in accordance with the aforementioned case law, that at the qualification stage, some reveal an abuse of dominant position between Schering-Plough and others a collusion between Reckitt Benckiser and Schering-Plough.</w:t>
      </w:r>
    </w:p>
    <w:p>
      <w:r>
        <w:t>258. Furthermore, the parties cannot seriously claim that the late interest shown in the relations between Reckitt Benckiser and Schering-Plough and the contract that bound them would constitute evidence of the difference in practices.</w:t>
      </w:r>
    </w:p>
    <w:p>
      <w:r>
        <w:t>259. The absence of Reckitt Benckiser in the market where the abuse of dominant position was committed or the different duration retained for the two types of practices does not mean that the facts examined by the Authority are different. On the contrary, as has just been demonstrated, the abuse of dominant position was facilitated by the collusion, the purpose of which was to prepare the unilateral implementation of the abuse by Schering-Plough.</w:t>
      </w:r>
    </w:p>
    <w:p>
      <w:r>
        <w:t>260. Finally, the applicants cannot invoke decision No. 02-D-42 of June 28, 2002, concerning practices identified in the sector of distribution of household appliances and consumer electronics rendered by the Competition Council, which concerns a situation different from that of the present case. Indeed, from a procedural point of view, the practices of Reckitt Benckiser were not the subject of a separate referral. From a material point of view, as has just been demonstrated above, the constitutive facts of the practices are not distinct, the agreement between Schering-Plough and Reckitt Benckiser having made possible the abuse of dominant position committed by Schering-Plough.</w:t>
      </w:r>
    </w:p>
    <w:p>
      <w:r>
        <w:t>261. Therefore, even if Reckitt Benckiser remained uninvolved in the search and seizure operations conducted against Schering-Plough and the disputes they gave rise to, the interruptive effect of the limitation period, which is not contested as valid for Schering-Plough, also applies to it.</w:t>
      </w:r>
    </w:p>
    <w:p>
      <w:r>
        <w:t>2. REGARDING THE DURATION OF THE PROCEDURE</w:t>
      </w:r>
    </w:p>
    <w:p>
      <w:r>
        <w:t>a) Applicable law</w:t>
      </w:r>
    </w:p>
    <w:p>
      <w:r>
        <w:t>262. According to consistent case law, the reasonable time prescribed by Article 6 § 1 of the Convention for the Protection of Human Rights and Fundamental Freedoms (hereinafter "ECHR") must be assessed in light of the scope and complexity of the case. The sanction attached to the Authority's violation of the obligation to rule within a reasonable time is not the annulment of the procedure, but the compensation for the damage resulting from the time endured, provided, however, that the time elapsed during the investigation phase, including the non-adversarial phase, before the Authority did not cause each of the companies, formulating a grievance in this regard, a personal, effective, and irreparable infringement of their right to defend themselves (see the rulings of the Court of Cassation of November 23, 2010, Beauté Prestige International, No. 09-72031, of the Paris Court of Appeal of January 26, 2012, Beauté Prestige International, No. 2010/23 945, p. 19, and of October 11, 2012, Entreprise H. Chevalier Nord, No. 2011/03298, p. 30).</w:t>
      </w:r>
    </w:p>
    <w:p>
      <w:r>
        <w:t>263. Regarding the assessment of the reasonableness of the duration of the procedure in light of the scope and complexity of the case at hand, the Paris Court of Appeal specified that "notwithstanding the demands for speed in business life, the application of substantive competition law rules always requires a heavy implementation of the largely indeterminate norms of economic legality, necessitating for their technical application the development of precise criteria involving an assessment of the economic effects of the contested practices and requiring an in-depth economic analysis of the relevant markets" (ruling of the Paris Court of Appeal of January 26, 2012, cited above).</w:t>
      </w:r>
    </w:p>
    <w:p>
      <w:r>
        <w:t>264. Furthermore, regarding the alleged infringements of the ability of companies to effectively defend themselves against the grievances notified in light of the duration of the procedure, the court specified that "the reality of such a violation must necessarily be assessed against the general duty of caution incumbent on each economic operator who must ensure the proper preservation of their books and records as well as all elements allowing for the tracing of the legality of their practices in the event of judicial or administrative actions" (same ruling).</w:t>
      </w:r>
    </w:p>
    <w:p>
      <w:r>
        <w:t>265. Specifically regarding the issue of evidence preservation, the Court of Cassation held that the companies incriminated by the Competition Authority "are responsible for any loss of evidence they intended to invoke as long as the limitation period (...) was not acquired" (ruling of the Court of Cassation of January 12, 1999, No. 97-13125). By virtue of a general duty of caution, it is indeed incumbent upon the companies involved to preserve any evidence capable of establishing the legality of their practices until the end of the limitation period set by Article L. 462-7 of the Commercial Code, the duration of which was extended from three to five years by the ordinance of November 4, 2004 (rulings of the Paris Court of Appeal of January 26, 2012, cited above, and of October 11, 2012, cited above, p. 32).</w:t>
      </w:r>
    </w:p>
    <w:p>
      <w:r>
        <w:t>266. To assess whether the principle of reasonable time has been respected in this case, it is therefore necessary to first examine whether the duration of the procedure can be considered excessive in light of the circumstances of the case, and, if necessary, to examine secondly whether it is established that the duration of the procedure deprived Reckitt Benckiser of the ability to effectively defend itself against the grievances attributed to it.</w:t>
      </w:r>
    </w:p>
    <w:p>
      <w:r>
        <w:t>b) Arguments of the parties</w:t>
      </w:r>
    </w:p>
    <w:p>
      <w:r>
        <w:t>267. Reckitt Benckiser and Reckitt Benckiser plc argue that the duration of the procedure has exceeded the reasonable time prescribed by Article 6 § 1 of the ECHR. They assert that this excessive duration has irreparably harmed their rights of defense, as they no longer had the data that would have allowed them to effectively ensure their defense, notably due to the departure of certain employees.</w:t>
      </w:r>
    </w:p>
    <w:p>
      <w:r>
        <w:t>c) Assessment in the case at hand</w:t>
      </w:r>
    </w:p>
    <w:p>
      <w:r>
        <w:t>268. In this case, Arrow seized the Authority on November 3, 2006. However, the period of more than five years—interrupted several times by interruptive acts of limitation—that elapsed between the alleged facts and the first investigative act is explained by the</w:t>
      </w:r>
    </w:p>
    <w:p>
      <w:r>
        <w:rPr>
          <w:b/>
        </w:rPr>
        <w:t>[Pages 58–60]</w:t>
      </w:r>
    </w:p>
    <w:p>
      <w:r>
        <w:t>dans un délai de dix jours à compter de la remise ou de la réception de la notification de la mesure.</w:t>
      </w:r>
    </w:p>
    <w:p>
      <w:r>
        <w:t>286. En l’espèce, les sociétés Reckitt Benckiser et Reckitt Benckiser plc n’ont pas contesté la régularité de l’ordonnance du juge du 17 janvier 2007, ni la légalité des opérations de visite et de saisie qui en ont découlé. Elles n’ont pas non plus démontré que l’absence de ces documents aurait eu un impact significatif sur leur capacité à défendre leurs intérêts dans la procédure.</w:t>
      </w:r>
    </w:p>
    <w:p>
      <w:r>
        <w:t>287. Par conséquent, l’argument selon lequel l’absence de certaines pièces aurait porté atteinte à leurs droits de la défense ne saurait être retenu.</w:t>
      </w:r>
    </w:p>
    <w:p>
      <w:r>
        <w:t>b) Sur le classement de nombreuses pièces sous couvert de la protection du secret des affaires</w:t>
      </w:r>
    </w:p>
    <w:p>
      <w:r>
        <w:t>288. Les sociétés Reckitt Benckiser et Reckitt Benckiser plc soutiennent que le classement de nombreuses pièces sous le secret des affaires a restreint leur capacité à se défendre efficacement. Elles estiment que ce classement a été appliqué de manière excessive et qu’il a empêché un examen complet des éléments de preuve.</w:t>
      </w:r>
    </w:p>
    <w:p>
      <w:r>
        <w:t>289. Toutefois, il convient de rappeler que la protection du secret des affaires est un principe reconnu qui vise à protéger les informations sensibles des entreprises. La nécessité de préserver la confidentialité de certaines informations ne saurait, en soi, constituer une violation des droits de la défense, à condition que les parties aient eu accès à des éléments suffisants pour préparer leur défense.</w:t>
      </w:r>
    </w:p>
    <w:p>
      <w:r>
        <w:t>290. En l’espèce, les sociétés ont eu accès à un nombre suffisant de documents pour leur permettre de comprendre les griefs formulés à leur encontre et de préparer leur défense. De plus, elles ont eu l’opportunité de contester le classement de certains documents lors de la procédure.</w:t>
      </w:r>
    </w:p>
    <w:p>
      <w:r>
        <w:t>291. Par conséquent, l’argument relatif au classement de nombreuses pièces sous le secret des affaires ne saurait être retenu.</w:t>
      </w:r>
    </w:p>
    <w:p>
      <w:r>
        <w:t>c) Sur l’accès tardif à de nombreux éléments du dossier</w:t>
      </w:r>
    </w:p>
    <w:p>
      <w:r>
        <w:t>292. Les sociétés Reckitt Benckiser et Reckitt Benckiser plc soutiennent que l’accès tardif à de nombreux éléments du dossier a gravement entravé leur capacité à se défendre. Elles font valoir que ce retard a eu pour effet de limiter le temps dont elles disposaient pour préparer leur réponse aux griefs.</w:t>
      </w:r>
    </w:p>
    <w:p>
      <w:r>
        <w:t>293. Il est constant que le droit à un procès équitable implique que les parties aient un accès effectif aux éléments de preuve sur lesquels se fonde la décision. Cependant, il appartient à chaque partie de démontrer que le retard dans l’accès à ces éléments a eu un impact concret sur leur capacité à se défendre.</w:t>
      </w:r>
    </w:p>
    <w:p>
      <w:r>
        <w:t>294. En l’espèce, les sociétés n’ont pas démontré que l’accès tardif à certains éléments du dossier a eu un impact significatif sur leur défense. Elles ont eu la possibilité de présenter leurs observations et de contester les éléments de preuve dans le cadre de la procédure.</w:t>
      </w:r>
    </w:p>
    <w:p>
      <w:r>
        <w:t>295. Par conséquent, l’argument relatif à l’accès tardif à de nombreux éléments du dossier ne saurait être retenu.</w:t>
      </w:r>
    </w:p>
    <w:p>
      <w:r>
        <w:t>6. EN CONCLUSION</w:t>
      </w:r>
    </w:p>
    <w:p>
      <w:r>
        <w:t>296. Au regard de l’ensemble des éléments exposés, il apparaît que les arguments soulevés par les sociétés Reckitt Benckiser et Reckitt Benckiser plc ne sont pas fondés. Les droits de la défense ont été respectés tout au long de la procédure, et les conditions d’accès au dossier n’ont pas porté atteinte à leur capacité à se défendre.</w:t>
      </w:r>
    </w:p>
    <w:p>
      <w:r>
        <w:rPr>
          <w:b/>
        </w:rPr>
        <w:t>[Pages 61–63]</w:t>
      </w:r>
    </w:p>
    <w:p>
      <w:r>
        <w:t>from the date on which they received notification of the report and the inventory and, at the latest, from the notification of grievances provided for in Article L. 463-2". Reckitt Benckiser and its parent company, which acknowledge, in their response to the report of August 21, 2013 (p. 30), having been aware of the judge's order of January 17, 2007, did not file an appeal against said order, as the law reserved them the possibility to do so without needing to dispose of it.</w:t>
      </w:r>
    </w:p>
    <w:p>
      <w:r>
        <w:t>286. Furthermore, Reckitt Benckiser and its parent company cannot invoke the absence from the file of the minutes of the meeting of October 20, 2005, which is not among the seized documents, as explicitly indicated in the notification of grievances (footnote 102 p. 46).</w:t>
      </w:r>
    </w:p>
    <w:p>
      <w:r>
        <w:t>b) On the classification of numerous documents</w:t>
      </w:r>
    </w:p>
    <w:p>
      <w:r>
        <w:t>287. Under Article L. 463-4 of the Commercial Code, as amended by Ordinance No. 2008-1161 of November 13, 2008: "Except in cases where the communication or consultation of these documents is necessary for the exercise of the defense rights of a party involved, the General Rapporteur of the Competition Authority may refuse a party the communication or consultation of documents or certain elements contained in these documents that involve the business secrets of other persons. In this case, a non-confidential version and a summary of the documents or elements in question are accessible to them."</w:t>
      </w:r>
    </w:p>
    <w:p>
      <w:r>
        <w:t>288. First, in accordance with the request expressed by Reckitt Benckiser in their observations on the notification of grievances, Schering-Plough's response to the rapporteur's questionnaire regarding financial transfers between Reckitt Benckiser and Schering-Plough was fully declassified, prior to the sending of the report, by decision 13-DEC-27 of April 25, 2013 (references 21558 to 21561). Furthermore, Reckitt Benckiser companies were also questioned by the rapporteur about these financial transfers, as indicated in the follow-up email of March 19, 2012 (reference 17609). They were therefore able to access the elements related to the financial transfers and thus draft their observations.</w:t>
      </w:r>
    </w:p>
    <w:p>
      <w:r>
        <w:t>289. Next, the applicants cannot complain about the absence of declassification of the minutes of the meeting of April 30, 2004, between Reckitt Benckiser and Schering-Plough, which does not concern the grievances retained by the investigation since it is one and a half years prior to the start of the collusive practice on October 5, 2005.</w:t>
      </w:r>
    </w:p>
    <w:p>
      <w:r>
        <w:t>290. Moreover, regarding the email exchanges of February 2006 between Reckitt Benckiser and Schering-Plough from February 16, 2006 (references 13592 to 13593), the first of the two pages was indeed subject to a declassification decision on February 6, 2013, for Reckitt Benckiser, after the sending of the notification of grievances. The second page, which contained the elements that the rapporteur had retained against Reckitt Benckiser, was obviously accessible at the time of the notification of grievances (reference 13593). Similarly, the companies had access to the email regarding "pharmacy agencies": the email indicating Reckitt Benckiser Innovex/MBO's preference to implement direct sales force in France was in the file (reference 19445), but had not been digitized. It was transmitted on December 21, 2012, to Reckitt Benckiser companies, after the sending of the notification of grievances. The email to which it responded, of which the investigation services were unaware at the time of the notification of grievances, is included in the CD-ROM sent to Reckitt Benckiser companies with the report, as well as a paper version (reference 27735).</w:t>
      </w:r>
    </w:p>
    <w:p>
      <w:r>
        <w:t>291. Finally, regarding the optimization plan transmitted with the email of October 5, 2005, responses to the arguments concerning its author will be provided in paragraphs 437 and following. At the time of the notification of grievances, Reckitt Benckiser companies had access to the excerpts of this document that formed the basis of the grievances, namely the four most important slides of this plan related to the action with pharmacists "pharmacy optimization plan retail" (reference 13898, see also below the summary table). A specific annex to the report gathered all the most important documents in their entirety, which were declassified.</w:t>
      </w:r>
    </w:p>
    <w:p>
      <w:r>
        <w:t>c) On the late access to new elements of the file</w:t>
      </w:r>
    </w:p>
    <w:p>
      <w:r>
        <w:t>292. Reckitt Benckiser companies challenge the partial and late declassification of electronic seizures (which would include thousands of pages) and the late declassification of Schering Plough's responses regarding the financial flows between Reckitt Benckiser and Schering-Plough.</w:t>
      </w:r>
    </w:p>
    <w:p>
      <w:r>
        <w:t>293. In this case, the protection of business secrets was requested by Schering Plough on certain seized paper documents or on electronic messages. These requests for business secrecy being regular in form, they were therefore accepted. However, in order to guarantee the exercise of the defense rights of Reckitt Benckiser, all information contained in the seized documents (paper or messages) mentioned in the notification of grievances and serving as evidence of the practices attributed to Reckitt Benckiser were declassified. Then, to respond to Reckitt Benckiser's arguments in response to the notification of grievances, other documents were declassified before the sending of the report and annexed to it. At the stage of the report, Reckitt Benckiser companies had full and complete access to the file, since regarding the electronic seizures, a search was conducted for all electronic documents containing the keyword "Reckitt Benckiser" (2477 files) which were copied onto a CD-ROM and then declassified and transmitted to Reckitt Benckiser companies.</w:t>
      </w:r>
    </w:p>
    <w:p>
      <w:r>
        <w:t>294. Regarding Schering Plough's responses on the financial flows between Reckitt Benckiser and Schering-Plough, they were declassified on February 25, 2013, that is to say, before the sending of the report of April 25, 2013.</w:t>
      </w:r>
    </w:p>
    <w:p>
      <w:r>
        <w:t>295. Finally, in any case, Reckitt Benckiser companies do not demonstrate how having access to these documents in a manner they consider late could have caused them harm. Thus, they do not invoke any element drawn from these documents to exercise their defense rights against the grievance of collusion.</w:t>
      </w:r>
    </w:p>
    <w:p>
      <w:r>
        <w:t>296. The parties involved therefore had the opportunity to be aware of all the elements used in the notification of grievances, and thus to draft their observations on this notification. No infringement of the defense rights of the parties is therefore demonstrated.</w:t>
      </w:r>
    </w:p>
    <w:p>
      <w:r>
        <w:t>B. ON THE APPLICABILITY OF UNION COMPETITION RULES</w:t>
      </w:r>
    </w:p>
    <w:p>
      <w:r>
        <w:t>1. THE APPLICABLE PRINCIPLES</w:t>
      </w:r>
    </w:p>
    <w:p>
      <w:r>
        <w:t>297. Article 101 of the Treaty on the Functioning of the European Union states that "all agreements between undertakings, all decisions by associations of undertakings and all concerted practices which may affect trade between Member States and which have as their object or effect the prevention, restriction or distortion of competition within the internal market are incompatible with the internal market and prohibited." Article 102 TFEU states that "the abuse by one or more undertakings of a dominant position within the internal market or in a substantial part of it is incompatible with the internal market and prohibited, insofar as it may affect trade between Member States."</w:t>
      </w:r>
    </w:p>
    <w:p>
      <w:r>
        <w:t>298. Based on the consistent case law of the Union, and in light of the European Commission's communication on guidelines regarding the notion of affecting trade as set out in Articles 81 and 82 of the Treaty [now Articles 101 TFEU and 102 TFEU] (OJ 2004, C 101, p. 81), the Authority considers that three elements must be met for practices to be likely to significantly affect trade between Member States: the existence of exchanges between Member States concerning the products or services in question, the existence of practices likely to affect these exchanges, and the sensitive nature of this possible effect.</w:t>
      </w:r>
    </w:p>
    <w:p>
      <w:r>
        <w:t>299. The fact that agreements or abuses of dominant position are committed on the territory of a single Member State does not prevent the fulfillment of the first two conditions.</w:t>
      </w:r>
    </w:p>
    <w:p>
      <w:r>
        <w:t>300. Regarding collusive practices, the Commission has indeed recalled that "horizontal agreements covering the entirety of a Member State are normally likely to affect trade between Member States" (point 78 of the guidelines). Similarly, concerning abuses of dominant position, the Court of Justice has ruled that when the holder of a dominant position prevents access to the market for competitors, it is irrelevant whether this behavior occurs only on the territory of a single Member State, as long as it is likely to have repercussions on trade flows and competition in the single market (judgment of November 9, 1981, Nederlandsche Banden-Industrie-Michelin/Commission, 322/81, Rec. p. 3461, point 103).</w:t>
      </w:r>
    </w:p>
    <w:p>
      <w:r>
        <w:t>301. The Court of Cassation has, for its part, specified in a judgment concerning France Télécom of January 31, 2012, that the terms "likely to affect" stated in Articles 101 TFEU and 102 TFEU "imply that the agreement or abusive practice in question allows, based on a set of objective legal or factual elements, to consider with a sufficient degree of probability that it may exert a direct or indirect, actual or potential influence on trade flows between Member States, without requiring the establishment of an actual effect on intra-community trade" (judgment of January 31, 2010, No. 10-25772, 10-25775 and 10-25882, p. 6).</w:t>
      </w:r>
    </w:p>
    <w:p>
      <w:r>
        <w:t>302. Regarding the third element, namely the sensitive nature of the effect on trade between Member States, the European Commission has specified that "in principle, agreements cannot significantly affect trade between Member States when the following cumulative conditions are met: a) the total market share of the parties in the relevant Community market does not exceed 5% and, b) (...) the average annual turnover achieved in the Community by the undertakings concerned with the products covered by the agreement does not exceed 40 million euros" (point 52 of the guidelines).</w:t>
      </w:r>
    </w:p>
    <w:p>
      <w:r>
        <w:t>303. Regarding abuses of dominant position, the European Commission has recalled that it is necessary "to take into account the fact that the presence of the dominant undertaking covering the entirety of a Member State is likely to make market entry more difficult. Any abusive practice that makes entry into the national market more difficult must therefore be considered as significantly affecting trade" (point 96 of the guidelines).</w:t>
      </w:r>
    </w:p>
    <w:p>
      <w:r>
        <w:rPr>
          <w:b/>
        </w:rPr>
        <w:t>[Pages 64–66]</w:t>
      </w:r>
    </w:p>
    <w:p>
      <w:r>
        <w:t>304. Finally, in the aforementioned France Télécom judgment, the Court of Cassation ruled that "the significant nature of the direct or indirect, potential or actual impact on intra-Community trade results from a set of criteria, among which are the nature of the practices, the nature of the products concerned, and the market position of the companies involved" (p. 6). This approach is even more applicable to practices concerning the entirety of a Member State (see, regarding abusive practices, the judgments of the Court of First Instance of October 8, 1996, Compagnie maritime belge transports e.a./Commission, T-24/93, T-25/93, T-26/93 and T-28/93, Rec. p. II-1201, point 203 and Irish Sugar plc/Commission, T-228/97, Rec. p. II-2969, point 170).</w:t>
      </w:r>
    </w:p>
    <w:p>
      <w:r>
        <w:t>2. ASSESSMENT IN THE CASE AT HAND</w:t>
      </w:r>
    </w:p>
    <w:p>
      <w:r>
        <w:t>305. Firstly, the practices in question have a national dimension, as they were considered, for the grievance of collusion, and implemented, for the grievances of abuse of dominant position, in the market for BHD marketed in cities across the entire French territory (see paragraphs 347 and following).</w:t>
      </w:r>
    </w:p>
    <w:p>
      <w:r>
        <w:t>306. Secondly, BHD is an important product because, although it concerns only a limited number of patients, it constitutes a long-term treatment for them. Furthermore, both the companies involved and the complainant are established in several Member States of the European Union, including France (paragraphs 6 and following).</w:t>
      </w:r>
    </w:p>
    <w:p>
      <w:r>
        <w:t>307. Thirdly, Schering-Plough is the main operator in the BHD market in France, while Reckitt Benckiser operates in the rest of the European Union. The revenue from Subutex sales in France generated by Schering-Plough exceeds the threshold of 40 million euros set by the European Commission in its guidelines, as it amounted to over 95.6 million euros in 2006 (reference 3790). Moreover, the BHD market in France represented approximately 100 million euros in revenue in recent years.</w:t>
      </w:r>
    </w:p>
    <w:p>
      <w:r>
        <w:t>308. Fourthly, while the practices considered and those implemented targeted only Buprenorphine Arrow, they are likely to have affected indiscriminately and indirectly all potential competitors of the companies involved.</w:t>
      </w:r>
    </w:p>
    <w:p>
      <w:r>
        <w:t>309. It follows from the above that the practices in question are likely to significantly affect trade between Member States. They will therefore be analyzed in light of both internal and Union competition rules, which is, moreover, not contested by the parties.</w:t>
      </w:r>
    </w:p>
    <w:p>
      <w:r>
        <w:t>C. ON THE MERITS OF THE GRIEVANCES</w:t>
      </w:r>
    </w:p>
    <w:p>
      <w:r>
        <w:t>310. The Authority will first examine the two grievances related to the abuses of dominant position attributed to Schering-Plough and then, secondly, the grievance of collusion attributed to Schering-Plough and Schering-Plough Corp, on the one hand, and to Reckitt Benckiser, on the other hand.</w:t>
      </w:r>
    </w:p>
    <w:p>
      <w:r>
        <w:t>1. ON THE CONSEQUENCES OF THE IMPLEMENTATION OF III OF ARTICLE L. 464-2 OF THE COMMERCIAL CODE</w:t>
      </w:r>
    </w:p>
    <w:p>
      <w:r>
        <w:t>311. The organization or company that chooses to seek the benefit of the implementation of III of Article L. 464-2 of the Commercial Code must comply with the conditions imposed in this regard, by not contesting the reality of the grievances that have been notified to it.</w:t>
      </w:r>
    </w:p>
    <w:p>
      <w:r>
        <w:t>312. The interested party must thus refrain from contesting not only the reality of all the practices referred to in the notification of grievances but also the qualification that has been given in light of the provisions of Union law and the Commercial Code, as well as its responsibility in the implementation of these practices (see, in this sense, judgment of the Paris Court of Appeal of March 29, 2012, Lacroix Signalisation e.a., no. 2011/01228, p. 23). This waiver must, on all these points, be express, complete, and unambiguous (decisions no. 04-D-42 of August 4, 2004, concerning practices implemented in the context of the restoration of the spire of the cathedral of Tréguier, paragraph 15, no. 06-D-09 of April 11, 2006, concerning practices implemented in the door manufacturing sector, paragraph 303, and no. 12-D-06 of January 26, 2012, concerning practices implemented in the aggregates sector and downstream markets in Saint-Pierre-et-Miquelon, paragraph 149; see also, in this sense, decisions no. 10-D-39 of December 22, 2010, concerning practices implemented in the vertical road signage sector, paragraphs 226, 228, and 425, and no. 11-D-07 of February 24, 2011, concerning practices implemented in the sector of painting works on metal infrastructures, paragraph 113).</w:t>
      </w:r>
    </w:p>
    <w:p>
      <w:r>
        <w:t>313. Such a waiver to contest the grievances is sufficient for the Authority to consider that all the infringements in question are established with respect to the parties that have made this procedural choice (see, in this sense, judgment of the Paris Court of Appeal of January 26, 2010, Adecco France e.a., no. 2009/03532, p. 10, and, on appeal, judgment of the Court of Cassation of March 29, 2011, Manpower France e.a., no. 10-12.913; see also decisions no. 04-D-42, cited, paragraph 12, no. 11-D-07, cited, paragraph 113, and no. 12-D-06, cited, paragraph 151).</w:t>
      </w:r>
    </w:p>
    <w:p>
      <w:r>
        <w:t>314. With respect to those who have not made this choice, only the question of their participation in the alleged anti-competitive practices must be discussed (judgment of the Court of Cassation, Manpower France e.a., cited).</w:t>
      </w:r>
    </w:p>
    <w:p>
      <w:r>
        <w:t>315. In this case, the grievances recalled in paragraph 242 above and relating to the practices described in paragraphs 310 to 512 above are therefore established with respect to Schering-Plough, Financière MSD, and Merck &amp; Co. It is therefore only for the sake of clarity that the Authority recalls grievances no. 1 and no. 2 below.</w:t>
      </w:r>
    </w:p>
    <w:p>
      <w:r>
        <w:t>2. ON THE MARKET IN QUESTION AND SCHERING-PLOUGH'S POSITION IN IT</w:t>
      </w:r>
    </w:p>
    <w:p>
      <w:r>
        <w:t>316. Two grievances of abuse of dominant position have been notified to the companies involved, Schering-Plough, Financière MSD, and Merck &amp; Co, which are active in the French market for BHD in cities. The third relates to a collusion between Schering-Plough, as well as Financière MSD and Merck &amp; Co, on the one hand, and Reckitt Benckiser Healthcare Ltd and Reckitt Benckiser plc, on the other hand, in this same market.</w:t>
      </w:r>
    </w:p>
    <w:p>
      <w:r>
        <w:t>317. The Authority will proceed to delineate the market common to all the notified grievances, noting that this delineation does not, according to case law, need to present the same degree of precision in the case of collusion compared to an abuse of dominant position.</w:t>
      </w:r>
    </w:p>
    <w:p>
      <w:r>
        <w:t>a) On the definition of the relevant market</w:t>
      </w:r>
    </w:p>
    <w:p>
      <w:r>
        <w:t>On the market for products</w:t>
      </w:r>
    </w:p>
    <w:p>
      <w:r>
        <w:t>318. In its communication on the definition of the market in question for the purposes of Community competition law (OJEC 1997, C 372, p. 5), the European Commission indicated that "a market for products in question includes all products and/or services that the consumer considers interchangeable or substitutable due to their characteristics, price, and intended use" (point 9).</w:t>
      </w:r>
    </w:p>
    <w:p>
      <w:r>
        <w:t>319. Following the same approach, the Authority recalled that "the market is defined as the place where the supply and demand for specific products or services meet, considered by buyers or users as substitutable among themselves, but not substitutable for other goods and services offered" (decision no. 13-D-11, cited, paragraph 285).</w:t>
      </w:r>
    </w:p>
    <w:p>
      <w:r>
        <w:t>320. The pharmaceutical sector presents a particularity in this regard, as the purchasing decision is not made by the end user, but by the prescribing physician, who chooses the medication to be administered to their patient.</w:t>
      </w:r>
    </w:p>
    <w:p>
      <w:r>
        <w:t>321. In a judgment of June 15, 1999, Lilly France (no. 97-15185), the Court of Cassation thus approved the Paris Court of Appeal, which had considered that "the interchangeability of medicines does not fundamentally depend on their physical or chemical identity, but on their functional interchangeability from the dispenser's point of view, and therefore, in the case of prescription medicines, also from the perspective of established physicians."</w:t>
      </w:r>
    </w:p>
    <w:p>
      <w:r>
        <w:t>322. In order to determine the relevant product market, it is therefore necessary to take into account the perception of prescribing physicians, which is largely dependent on the therapeutic indications and contraindications of the medicines.</w:t>
      </w:r>
    </w:p>
    <w:p>
      <w:r>
        <w:t>323. The decision-making practice and case law, both domestic and European, rely in this regard on the "Anatomical Therapeutical Chemical" classification system (hereinafter "ATC classification") recognized and used by the World Health Organization to define relevant markets [see in particular the judgment of the Court of Cassation of June 15, 1999, cited, and the Commission decision C (2005) 1757 final of June 15, 2005, concerning a procedure for the application of Article 82 EC and Article 54 of the EEA Agreement (case COMP/A.37.507/F3 – AstraZeneca)]. This system classifies pharmaceutical products based on their therapeutic indications. The classification is divided into "levels."</w:t>
      </w:r>
    </w:p>
    <w:p>
      <w:r>
        <w:t>324. In its judgment Lilly France, cited, the Court of Cassation confirmed this approach to defining pharmaceutical product markets, considering that "if, to delineate the reference market of a medicine, the third level (of the ATC classification) is useful, this classification may be too narrow or too broad for certain medicines." This was a case in which the Competition Council had defined the relevant market at the 5th level of the ATC classification, namely dobutamine, the active ingredient of Dobutrex®.</w:t>
      </w:r>
    </w:p>
    <w:p>
      <w:r>
        <w:t>325. The practices in question in this case concern the branded medicine Subutex® and its generics, which have BHD as their active ingredient. Subutex®, just like its generics that are fully substitutable for it, are prescribed to treat dependence.</w:t>
      </w:r>
    </w:p>
    <w:p>
      <w:r>
        <w:rPr>
          <w:b/>
        </w:rPr>
        <w:t>[Pages 67–69]</w:t>
      </w:r>
    </w:p>
    <w:p>
      <w:r>
        <w:t>aux opiates and more specifically to heroin. They fall under the fifth level of the ATC classification ("Nervous system" - "Other nervous system drugs" - "Drugs used in substance use disorders" - "Drugs used in opioid dependence").</w:t>
      </w:r>
    </w:p>
    <w:p>
      <w:r>
        <w:t>326. At the fourth level of this classification are the drugs prescribed for the treatment of tobacco dependence (N07BA) and alcohol dependence (N07BB). It therefore appears that this level is not a relevant level in this case for determining the market in question, as it includes products that respond to different therapeutic indications. Thus, to examine the substitutability of Subutex® and its generics, only the drugs belonging to its category, namely N07BC ("Drugs used in opioid dependence"), should be considered. The only other drug in this category and therefore having the same therapeutic indications is methadone.</w:t>
      </w:r>
    </w:p>
    <w:p>
      <w:r>
        <w:t>327. Unlike BHD, which is a psychotropic, methadone is a narcotic and is therefore subject to a different regime of medical prescription and pharmacy dispensing than that of BHD (decrees of February 22, 1990, establishing the list of substances classified as narcotics, JORF of June 7, 1990, p. 6678, and establishing the list of psychotropic substances, JORF of June 7, 1990, p. 6680).</w:t>
      </w:r>
    </w:p>
    <w:p>
      <w:r>
        <w:t>328. The prescription and dispensing of methadone must therefore comply with a set of specific rules that are more stringent than those relating to BHD (Articles R. 5132-1 to R. 5132-20, R. 5132-27 to R. 5132-39, and R. 5132-74 to R. 5132-87 of the Public Health Code). The pharmacist who holds and dispenses methadone must thus have a controlled prescription pad (decree of February 22, 1990, relating to controlled prescription pads for narcotics ordered by pharmacists, JORF of June 7, 1990, p. 6682).</w:t>
      </w:r>
    </w:p>
    <w:p>
      <w:r>
        <w:t>329. In light of all the preceding elements, it should be noted that BHD constitutes a distinct market from the other molecule belonging to the class of drugs used in opioid dependence, namely methadone, which the recipients of the grievances have not contested.</w:t>
      </w:r>
    </w:p>
    <w:p>
      <w:r>
        <w:t>On the distinction between the city market and the hospital market</w:t>
      </w:r>
    </w:p>
    <w:p>
      <w:r>
        <w:t>330. The Authority usually distinguishes between the city market and the hospital market. Thus, in its decision No. 10-D-02 of January 14, 2010, concerning practices implemented in the sector of low molecular weight heparins, it considered that such a distinction was justified for the following reasons: "[I]n the city, prices are regulated while in the hospital market prices are free. Furthermore, if the supply is the same, the demand is different: for the city market, the intermediate demand is made up of wholesalers and pharmacies, and for the hospital market, by hospital establishments, public (for example, public assistance hospitals) or private (private clinics). Moreover, the price elasticity of buyers is not the same: in hospitals it is high because the purchase price affects the hospitals' budget while in the city it is low, as the patient does not directly bear the price of the heparin which is reimbursed by health insurance" (paragraph 55).</w:t>
      </w:r>
    </w:p>
    <w:p>
      <w:r>
        <w:t>331. However, the practices identified in this case primarily targeted doctors and pharmacists. Therefore, the market considered relevant in this case will be that of the city, as the recipients of the grievances have not contested it.</w:t>
      </w:r>
    </w:p>
    <w:p>
      <w:r>
        <w:t>On the geographical dimension of the market</w:t>
      </w:r>
    </w:p>
    <w:p>
      <w:r>
        <w:t>332. In its aforementioned communication, the European Commission specified that "[t]he relevant geographical market comprises the territory in which the concerned companies are engaged in the supply of the goods and services in question, where the competitive conditions are sufficiently homogeneous and which can be distinguished from neighboring geographical areas because, in particular, the competitive conditions differ appreciably" (point 8).</w:t>
      </w:r>
    </w:p>
    <w:p>
      <w:r>
        <w:t>333. It follows from the consistent decision-making practice of competition authorities regarding pharmaceutical markets that drug markets are generally of national dimension (see, in particular, Authority decisions No. 10-D-02, cited above, paragraph 52, and No. 13-D-11, cited above, paragraph 308, and the European Commission decision of February 4, 1998, rendered in case No. IV/M.950 – Hoffman-La Roche/Boehringer Mannheim). Such analysis is linked to the significant disparities existing between the social security systems of the Member States of the European Union (price-setting mechanism, reimbursement system, and packaging and names of products).</w:t>
      </w:r>
    </w:p>
    <w:p>
      <w:r>
        <w:t>334. In this case, the relevance of this approach is confirmed by the fact that Subutex® and its generics are reimbursed by the French social security system and have been assigned a price by the CEPS. They are sold throughout the national territory.</w:t>
      </w:r>
    </w:p>
    <w:p>
      <w:r>
        <w:t>335. It should therefore be considered that the market for BHD, marketed in the city, is of national dimension.</w:t>
      </w:r>
    </w:p>
    <w:p>
      <w:r>
        <w:t>336. The relevant market in this case is therefore the French market for BHD (Subutex® and its generics) marketed in the city, which the recipients of the grievances have not contested.</w:t>
      </w:r>
    </w:p>
    <w:p>
      <w:r>
        <w:t>b) On Schering-Plough's position in the relevant market</w:t>
      </w:r>
    </w:p>
    <w:p>
      <w:r>
        <w:t>Applicable principles</w:t>
      </w:r>
    </w:p>
    <w:p>
      <w:r>
        <w:t>337. According to consistent case law of the Court of Justice, the dominant position referred to in Article 102 TFEU concerns a situation of economic power held by a company that gives it the ability to hinder the maintenance of effective competition in the relevant market, by providing it with the possibility of independent behavior, to a significant extent in relation to its competitors, its customers, and ultimately consumers (judgments of February 13, 1979, Hoffman-La Roche/Commission, 85/76, Rec. p. 461, point 38, and December 6, 2012, AstraZeneca e.a./Commission, C-457/10 P, not yet published in the Recueil, point 175).</w:t>
      </w:r>
    </w:p>
    <w:p>
      <w:r>
        <w:t>338. In its decision No. 13-D-11, cited above, the Authority recalled that "both internal and community case law defines a dominant position as a situation in which a company is able to act independently of market conditions and to act almost freely without taking into account the behavior and reactions of its competitors. Such a position may result from various factors characterizing the market itself or the company, such as holding either a legal or de facto monopoly on an activity, or holding substantial market shares. Such a position may also result from belonging to a large group, the weakness of competitors, holding a technological lead, or specific know-how" (paragraph 311).</w:t>
      </w:r>
    </w:p>
    <w:p>
      <w:r>
        <w:t>339. The assessment of a company's dominant position is therefore carried out based on a set of criteria that takes into account structural data such as the market shares of the company and those of its main competitors, but also elements that may provide a competitive advantage to the company in question, such as belonging to a powerful group or holding a technological lead.</w:t>
      </w:r>
    </w:p>
    <w:p>
      <w:r>
        <w:t>340. Regarding structural factors, the Authority has repeatedly stated that holding a monopoly, whether legal or de facto, is sufficient to establish the dominant position of its holder (see, in particular, decisions No. 10-D-14 of April 16, 2010, concerning practices implemented in the sector of the electrical valorization of biogas, and No. 10-D-34 of December 9, 2010, concerning practices implemented in the sector of the management of copyright in audiovisual works).</w:t>
      </w:r>
    </w:p>
    <w:p>
      <w:r>
        <w:t>341. As for the company's market power, outside of any monopoly situation, the Authority emphasized, in its decision No. 13-D-11, cited above, that, "[g]enerally speaking, the examination of market shares is an essential parameter in assessing a company's potential dominance in its market. It follows from the case law of community and national courts that extremely high market shares constitute, by themselves, and unless exceptional circumstances exist, proof of the existence of a dominant position" (paragraph 314).</w:t>
      </w:r>
    </w:p>
    <w:p>
      <w:r>
        <w:t>342. The Court of Justice indeed considers that the sustained possession of an extremely high market share constitutes, unless exceptional circumstances exist, proof of the existence of a dominant position, and that this is the case for a market share of over 50% (judgments Hoffman-La Roche/Commission, cited above, point 41, of July 3, 1991, Akzo/Commission, C-62/86, Rec. p. I-3359, point 60, and AstraZeneca e.a./Commission, cited above, point 176).</w:t>
      </w:r>
    </w:p>
    <w:p>
      <w:r>
        <w:t>Assessment in the case at hand</w:t>
      </w:r>
    </w:p>
    <w:p>
      <w:r>
        <w:t>343. It is necessary to distinguish two periods to assess Schering-Plough's position in the relevant market at the time of the alleged facts: on the one hand, the period preceding the entry of generics and, on the other hand, the period starting from their commercialization.</w:t>
      </w:r>
    </w:p>
    <w:p>
      <w:r>
        <w:t>344. Regarding the first period, Schering-Plough enjoyed a monopoly situation in the commercial exploitation of Subutex® until April 1, 2006, the date of commercialization of the first generic.</w:t>
      </w:r>
    </w:p>
    <w:p>
      <w:r>
        <w:t>345. Regarding the second period, that is to say, from April 1, 2006, Schering-Plough no longer enjoys a monopoly situation. However, in light of the data provided by AFSSAPS, it appears that in 2006 Schering-Plough held a market share by volume of 93.1% and by value of 95.8% (references 3790 and following and 13,441 and following).</w:t>
      </w:r>
    </w:p>
    <w:p>
      <w:r>
        <w:t>Conclusion on Schering-Plough's dominant position in the relevant market</w:t>
      </w:r>
    </w:p>
    <w:p>
      <w:r>
        <w:t>346. Without the need to examine other criteria than the very high market shares of Schering-Plough, it follows from the above that Schering-Plough enjoyed a dominant position in the French market for BHD marketed in the city throughout the duration of the notified grievances, which it has not contested.</w:t>
      </w:r>
    </w:p>
    <w:p>
      <w:r>
        <w:rPr>
          <w:b/>
        </w:rPr>
        <w:t>[Pages 70–72]</w:t>
      </w:r>
    </w:p>
    <w:p>
      <w:r>
        <w:t>3. ON GRIEVANCES NO. 1 AND NO. 2 OF ABUSE OF DOMINANT POSITION NOTIFIED TO SCHERING-PLOUGH</w:t>
      </w:r>
    </w:p>
    <w:p>
      <w:r>
        <w:t>347. Two grievances of abuse of dominant position have been notified to Schering-Plough, which does not contest them. The first concerns the disparagement that Schering-Plough allegedly implemented against Buprénorphine Arrow®, the generic of Subutex®, between February and May 2006. The second concerns the granting by Schering-Plough of loyalty-inducing financial advantages to community pharmacists between January and the end of July 2006.</w:t>
      </w:r>
    </w:p>
    <w:p>
      <w:r>
        <w:t>On the practice of disparagement (grievance no. 1)</w:t>
      </w:r>
    </w:p>
    <w:p>
      <w:r>
        <w:t>Preliminary observations</w:t>
      </w:r>
    </w:p>
    <w:p>
      <w:r>
        <w:t>348. Before examining the practice attributed to Schering-Plough, it is important to recall the context in which it was implemented, particularly the caution, even risk aversion, of doctors and pharmacists, who operate in a sector that is quite particular given its human stakes – the health of patients and, in the most serious situations, their very survival depend on the effectiveness and safety of the medications prescribed and dispensed to them – but also economic and financial stakes.</w:t>
      </w:r>
    </w:p>
    <w:p>
      <w:r>
        <w:t>349. This implies first mentioning the level of knowledge and information of healthcare professionals regarding medications and the applicable legal framework concerning generic specialties, as well as the role of pharmaceutical laboratories in this regard.</w:t>
      </w:r>
    </w:p>
    <w:p>
      <w:r>
        <w:t>350. The Authority has previously noted that French doctors most often prescribe medications under the commercial name of the reference product (decision no. 13-D-11, cited above, paragraph 346). It also appears that these same doctors do not always have precise and complete knowledge of all available medications (opinion no. 99-A-05 of February 17, 1999, concerning a draft decree in the Council of State relating to agreements between the Economic Committee for Medicinal Products and companies operating medications, the listing of medications on the lists provided for in Articles L. 162-17 of the Public Health Code, the setting of their prices, and amending the Social Security Code).</w:t>
      </w:r>
    </w:p>
    <w:p>
      <w:r>
        <w:t>351. It appears, furthermore, that healthcare professionals only imperfectly master the procedures for granting marketing authorizations for generic specialties, issues related to intellectual property rights, as well as the legal framework regulating the substitution of reference specialties by generic specialties (decision no. 13-D-11, cited above, paragraphs 350 and 351).</w:t>
      </w:r>
    </w:p>
    <w:p>
      <w:r>
        <w:t>352. Therefore, it is difficult for these same professionals to autonomously determine whether differences in excipients of competing generics of Subutex® have or do not have an impact on the health of patients in cases of misuse by them.</w:t>
      </w:r>
    </w:p>
    <w:p>
      <w:r>
        <w:t>353. The Authority has also previously ruled on the central role of medical visits, which indeed constitute a major source of information for doctors regarding medications, due to their accessibility, free of charge, and interactivity (decision no. 13-D-11, cited above, paragraphs 352 to 357).</w:t>
      </w:r>
    </w:p>
    <w:p>
      <w:r>
        <w:t>354. The importance of the medical visit, as a source of information, thus imposes on those who conduct it, namely medical representatives, the obligation to share the information they possess in an absolutely objective, complete, and reliable manner (decision no. 13-D-11, cited above, paragraph 357). This conclusion also applies to the information provided by pharmaceutical representatives to community pharmacists.</w:t>
      </w:r>
    </w:p>
    <w:p>
      <w:r>
        <w:t>355. It has finally been noted the risk aversion of healthcare professionals, notably due to a certain judicialization of health issues (decision no. 13-D-11, cited above, paragraph 358).</w:t>
      </w:r>
    </w:p>
    <w:p>
      <w:r>
        <w:t>A practice of disparagement may constitute an abuse of dominant position</w:t>
      </w:r>
    </w:p>
    <w:p>
      <w:r>
        <w:t>356. It follows from consistent case law of the Court of Justice that the notion of "abusive exploitation" is an objective notion that targets the behaviors of a company in a dominant position that are likely to influence the structure of a market where, precisely due to the presence of the company in question, the degree of competition is already weakened and which have the effect of obstructing, by resorting to means different from those governing normal competition of products or services based on the performance of economic operators, the maintenance of competition still existing in the market or the development of that competition (judgments Hoffman-La Roche, cited above, paragraph 91, Akzo/Commission, cited above, paragraph 69, and of February 17, 2011, TeliaSonera Sverige, C-52/09, Rec. p. I-527, paragraph 27).</w:t>
      </w:r>
    </w:p>
    <w:p>
      <w:r>
        <w:t>357. More specifically, and as the Court of Justice noted in its judgment AstraZeneca e.a./Commission, cited above, if "the development by a company, even in a dominant position, of a strategy aimed at minimizing the erosion of its sales and being able to face competition from generic products is legitimate and falls within the normal course of competition," it is necessary to ensure that, nonetheless, "the behavior in question does not deviate from practices relevant to competition on merits, which are likely to benefit consumers" (paragraph 129).</w:t>
      </w:r>
    </w:p>
    <w:p>
      <w:r>
        <w:t>358. It follows that Article 102 TFEU prohibits a company in a dominant position from strengthening its position by resorting to means other than those that fall within competition on merits and imposes on it a particular responsibility not to harm effective and undistorted competition in the internal market of the Union (judgments of the Court of Justice of November 9, 1983, Michelin/Commission, 322/81, Rec. p. 3461, paragraph 57, and of April 2, 2009, France Télécom/Commission, C-202/07 P, Rec. p. I-2369, paragraph 105).</w:t>
      </w:r>
    </w:p>
    <w:p>
      <w:r>
        <w:t>359. In its decision no. 07-D-33 of October 15, 2007, concerning practices implemented by France Télécom in the broadband Internet access sector, the Competition Council also recalled that competition implies a certain degree of rivalry and competition among market players, but that this struggle for customer acquisition does not authorize all behaviors, especially on the part of a company that, holding a dominant position in a market, incurs a particular responsibility. It then specified that disparagement is among the acts that can be regarded as abusive (paragraph 77).</w:t>
      </w:r>
    </w:p>
    <w:p>
      <w:r>
        <w:t>360. According to a consistent decision-making practice of the Authority, such behavior consists of publicly discrediting a person, product, or identified service. It differs from criticism in that it emanates from an economic actor seeking to gain a competitive advantage by penalizing its competitor (decision no. 13-D-11, cited above, paragraph 365).</w:t>
      </w:r>
    </w:p>
    <w:p>
      <w:r>
        <w:t>361. Any disparagement implemented by a company in a dominant position, while it may fall under unfair competition and engage the company's liability towards its competitors, is not necessarily constitutive of an abuse sanctioned under Article L. 420-2 of the Commercial Code and Article 102 TFEU. For disparagement to be qualified as an abuse of dominant position, a link must be established between the company's dominance and the practice of disparagement (Authority decision no. 09-D-14 of March 25, 2009, concerning practices implemented in the electricity supply sector, paragraphs 57 and 58, confirmed by the judgment of the Paris Court of Appeal of March 23, 2010, Gaz et électricité de Grenoble, no. 2009/09599; see also decision no. 10-D-32 of November 16, 2010, concerning practices in the pay television sector, paragraph 305 and no. 13-D-11, cited above, paragraph 366).</w:t>
      </w:r>
    </w:p>
    <w:p>
      <w:r>
        <w:t>362. To assess the existence of a practice of disparagement, the Authority first focuses on verifying whether the commercial discourse held by the company in a dominant position is based on objective findings or whether it consists of unverified assertions (decisions no. 07-D-33, cited above, paragraph 81, and no. 13-D-11, cited above, paragraph 367).</w:t>
      </w:r>
    </w:p>
    <w:p>
      <w:r>
        <w:t>363. Then, in order to determine whether the commercial discourse of the dominant company is likely to influence the structure of the market, the Authority examines the expected or actual effects of this discourse on the business partners or potential clientele of its competitors (decisions no. 10-D-32, cited above, paragraph 307, and no. 13-D-11, cited above, paragraph 368). It is indeed not necessary to demonstrate that the behavior of the company in a dominant position has had a concrete anticompetitive effect on the relevant market to qualify it as abusive. It is sufficient to demonstrate that it tends to restrict competition or, in other words, that it is likely to have such an effect (judgments of the Court of Justice TeliaSonera, cited above, paragraph 64, and AstraZeneca/Commission, cited above, paragraph 112).</w:t>
      </w:r>
    </w:p>
    <w:p>
      <w:r>
        <w:t>364. Finally, among the elements that the Authority considers to establish the existence of a link between the dominance of the company in question and the practice of disparagement are the notoriety of this company and the trust that market players place in it, which are likely to significantly enhance the impact of the discourse developed by it (decision no. 13-D-11, cited above, paragraph 369). In its decision no. 07-D-33, cited above, the Authority thus took into account the fact that the dominant company in question "enjoyed, in the eyes of the general public, the reputation and notoriety of a former monopoly managing a public service" (paragraph 79).</w:t>
      </w:r>
    </w:p>
    <w:p>
      <w:r>
        <w:t>365. It follows from the above that, while it is perfectly permissible for a pharmaceutical laboratory to highlight the objective qualities of a product, the act of highlighting not only qualities but differences that, in the context of the discourse held and the conditions under which it is heard, can only be understood as substantial differences, likely to raise an objective doubt about the qualities of competing generic specialties, may indicate an intention to mislead the practitioner and be constitutive of an abuse of dominant position.</w:t>
      </w:r>
    </w:p>
    <w:p>
      <w:r>
        <w:t>On the standard of proof</w:t>
      </w:r>
    </w:p>
    <w:p>
      <w:r>
        <w:t>366. It should be recalled that, while proof of the existence of a practice of disparagement may result from the formal existence of documents that are self-sufficient, it may also result from a set of serious, precise, and consistent indications, assessed globally and constituted by various documents collected during the investigation, even if each of the documents taken in isolation would not have a sufficiently probative character, as well as by the comparison of these documents with other elements of proof such as testimonies from individuals to whom the discourse in question is directed (decision no. 13-D-11, cited above, paragraphs 375 and following).</w:t>
      </w:r>
    </w:p>
    <w:p>
      <w:r>
        <w:rPr>
          <w:b/>
        </w:rPr>
        <w:t>[Pages 73–75]</w:t>
      </w:r>
    </w:p>
    <w:p>
      <w:r>
        <w:t>Sur la transmission d’informations manifestement erronées ou non vérifiées visant à jeter le discrédit sur le générique d’Arrow concurrent de Subutex</w:t>
      </w:r>
    </w:p>
    <w:p>
      <w:r>
        <w:t>♦ Sur la mise en place d’une communication globale et structurée par Schering-Plough</w:t>
      </w:r>
    </w:p>
    <w:p>
      <w:r>
        <w:t>367. It should be noted that Schering-Plough established a global and structured communication aimed at disparaging the generic, both before and after the market launch of Buprénorphine Arrow®.</w:t>
      </w:r>
    </w:p>
    <w:p>
      <w:r>
        <w:t>368. Before the market launch of this generic, the statements made during the press conference on February 15, 2006, were made by the Director of Economic Affairs and External Relations, Mr. Olivier L..., and the Director of Development and Medical Affairs, Mr. Alain F..., of Schering-Plough France (references 4239 and 4240).</w:t>
      </w:r>
    </w:p>
    <w:p>
      <w:r>
        <w:t>369. Furthermore, a training seminar was organized in Cannes in early January 2006 for medical representatives during which they were specifically asked to "instill a certain 'fear' of change" among pharmacists ("Pharmacy Strategy 2006 Communicate on the particularities of drug-addicted patients, the specifics of care: instill a certain 'fear' of change (psychiatric comorbidities, risk of misuse and trafficking)," reference 8609).</w:t>
      </w:r>
    </w:p>
    <w:p>
      <w:r>
        <w:t>370. The global and structured nature of the communication is further evidenced by the minutes of a conference call on January 13, 2006, between a regional director of Schering-Plough and delegates, on the one hand, and the question/answer set from February - March 2006, on the other hand (references 13494, 14449, 14450, and 15605).</w:t>
      </w:r>
    </w:p>
    <w:p>
      <w:r>
        <w:t>371. After the market launch of Buprénorphine Arrow®, it is sufficient to demonstrate the global and structured nature of the communication by referring to the email from the CEO of Schering-Plough in which he outlines to one of his sales directors the discourse to be delivered to pharmacists by medical representatives (reference 5147).</w:t>
      </w:r>
    </w:p>
    <w:p>
      <w:r>
        <w:t>♦ Sur le contenu du discours délivré par Schering-Plough</w:t>
      </w:r>
    </w:p>
    <w:p>
      <w:r>
        <w:t>372. Schering-Plough's communication directed at healthcare professionals evolved following the market launch of Buprénorphine Arrow®.</w:t>
      </w:r>
    </w:p>
    <w:p>
      <w:r>
        <w:t>373. Thus, before this market launch, Schering-Plough primarily focused its communication on the problems that would arise from the commercialization of the generic, as evidenced by the press conference on February 15, 2006, and the preparatory note for this conference by Ms. Mélanie T..., product manager for Subutex®. The increase in misuse would result from the easier injectability of the generic, on the grounds that it would dissolve more quickly and would not contain impurities. This increase in misuse would lead to an increase in "trafficking" among drug users and would constitute a risk factor for infection. The aim was indeed to "sow doubt" about the injection risks of Arrow's generic and to "alarm" about misuse. This communication, intended to foster the establishment of "a certain 'fear' of change," was effectively implemented (paragraphs 186 and following).</w:t>
      </w:r>
    </w:p>
    <w:p>
      <w:r>
        <w:t>374. In a second phase, at the time of the market launch of the generic, Schering-Plough's communication was based on the difference in excipients between its own product and that of Arrow. This communication indeed focused on the presence of talc and silica in Arrow's generic, which, in the case of injection, would have serious health consequences for patients.</w:t>
      </w:r>
    </w:p>
    <w:p>
      <w:r>
        <w:t>375. The CEO of Schering-Plough thus transcribed the discourse of a medical representative to a pharmacist that he considered should be disseminated due to its effectiveness: "1) the excipients are not the same (talc + silica) 2) no one knows what would happen in case of injection 3) in fact, in Béziers, the first problems with generics have appeared" (reference 5147).</w:t>
      </w:r>
    </w:p>
    <w:p>
      <w:r>
        <w:t>376. The content of this communication, directed at pharmacists and doctors, based on the increased risk to patient health in case of injection of the generic due to different excipients, has been confirmed multiple times by pharmacists and the CNAMTS (paragraphs 202 and following).</w:t>
      </w:r>
    </w:p>
    <w:p>
      <w:r>
        <w:t>♦ Sur l’incitation à la non-substitution</w:t>
      </w:r>
    </w:p>
    <w:p>
      <w:r>
        <w:t>377. The act of highlighting differences that, in the context of the discourse delivered and the conditions under which it is heard, can only be understood as substantial differences, likely to raise unjustified doubt, or even fear, about the qualities of the competing generic specialty, is all the more reprehensible in this case as it was accompanied by a clear incentive to non-substitution that could only be understood as the consequence to be drawn from these doubts.</w:t>
      </w:r>
    </w:p>
    <w:p>
      <w:r>
        <w:t>378. However, the objective of European and French regulations regarding generics is precisely to overcome the reluctance and risks of confusion on the part of healthcare professionals, by establishing a substitution mechanism that allows them not to worry about questions of differences in marketing authorization, as long as the generics are authorized and listed in the generic directory.</w:t>
      </w:r>
    </w:p>
    <w:p>
      <w:r>
        <w:t>379. The charter of medical visits concluded between the body representing pharmaceutical companies (LEEM) and the CEPS specifies that "the medical representative refrains from disparaging the specialties belonging to the same generic group as the specialty presented as well as from encouraging the prescriber to oppose substitution by the pharmacist" (http://www.leem.org/article/charte-de-visite-medicale).</w:t>
      </w:r>
    </w:p>
    <w:p>
      <w:r>
        <w:t>380. The discourse developed by Schering-Plough directed at healthcare professionals thus directly contradicted these objectives, instilling doubt about the quality and safety of Buprénorphine Arrow®, without relying on any verified fact, since nothing at that time – and still now – allowed for an objective and documented consideration that Buprénorphine Arrow® was less safe than the reference product.</w:t>
      </w:r>
    </w:p>
    <w:p>
      <w:r>
        <w:t>♦ Sur l’absence de justifications d’ordre médical ou scientifique</w:t>
      </w:r>
    </w:p>
    <w:p>
      <w:r>
        <w:t>381. As this is not contested by the companies involved, the discourse held by Schering-Plough before and after the market launch of Buprénorphine Arrow® was not based on any medical or scientific study. Schering-Plough thus stated that it did not have "medical studies relating to the risk associated with the absence of impurity in the generic" (reference 13406).</w:t>
      </w:r>
    </w:p>
    <w:p>
      <w:r>
        <w:t>382. Furthermore, Schering-Plough also stated that it had "not found any medical studies prior to 2006 that would show the consequences of injecting a buprenorphine-based drug that contained talc and/or silica" (reference 16453). It specifies that it seems "difficult for observational studies to have been conducted before 2006 as, at that time, to our knowledge, no buprenorphine-based drug containing talc and/or silica was marketed (the only buprenorphine-based drugs marketed before 2006 concerning Schering-Plough were Subutex and Temgesic, and neither contains talc or silica)" (reference 16453).</w:t>
      </w:r>
    </w:p>
    <w:p>
      <w:r>
        <w:t>Sur les effets avérés de la pratique mise en œuvre par Schering-Plough sur les professionnels de la santé</w:t>
      </w:r>
    </w:p>
    <w:p>
      <w:r>
        <w:t>383. Although it is possible at this stage to only examine the potential effects of disparagement, the documents in the file allow for the observation of its proven effects as this is not contested by the companies involved.</w:t>
      </w:r>
    </w:p>
    <w:p>
      <w:r>
        <w:t>384. Firstly, it can be noted that doctors have indicated on their prescriptions the mention "non-substitutable" in unusually observed proportions by pharmacists. For example, a pharmacist from Toulon stated that they have "never substituted a generic for Subutex for the good reason that my prescribers do not wish for there to be substitution and clearly indicate this on the prescriptions. To my knowledge, it is the only product for which there is resistance from doctors to substitute. In fact, the presence of talc in the generic gives it a dangerous character in case of injection, as talc is water-soluble" (reference 2174 and paragraphs 220 and following).</w:t>
      </w:r>
    </w:p>
    <w:p>
      <w:r>
        <w:t>385. Secondly, faced with feedback regarding the mention "without talc" on prescriptions prescribing buprenorphine, Mr. Nicolas R..., commercial director responsible for the hepatitis/toxicology unit at Schering-Plough, wrote on May 22, 2006: "22/5: GPS Pb 'Bupre without talc': unfair strategy? Ask doctors 'non-substitutable' See with GP (Gilles M...)" (reference 5450).</w:t>
      </w:r>
    </w:p>
    <w:p>
      <w:r>
        <w:t>386. Thirdly and finally, the effects of the discourse delivered can also be noted regarding pharmacists. The CEO of Schering-Plough noted in this regard that one of his medical representatives had succeeded in getting a pharmacist to abandon the project of ordering Buprénorphine Arrow®, a competitor of Subutex®. To do this, this medical representative had delivered a discourse questioning the safety of the competing generic of Subutex® (paragraphs 213 and following).</w:t>
      </w:r>
    </w:p>
    <w:p>
      <w:r>
        <w:t>387. It follows from the above that Schering-Plough's discourse has indeed had observable effects on the behavior of healthcare professionals regarding Arrow's generic. By influencing both doctors and pharmacists, Schering-Plough has thus obstructed competition at both key stages of generic substitution: at the prescription stage, significantly reinforcing the number of "non-substitutable" mentions, which has limited the generification rate of Subutex®; at the stage of dispensing the medication, by encouraging pharmacists not to substitute Subutex® when the prescription did not include the mention "non-substitutable."</w:t>
      </w:r>
    </w:p>
    <w:p>
      <w:r>
        <w:t>Sur les effets de la pratique mise en œuvre par Schering-Plough sur le marché de la BHD</w:t>
      </w:r>
    </w:p>
    <w:p>
      <w:r>
        <w:t>388. In 2006, the year of implementation of the communication outlined above, Schering-Plough enjoyed, according to AFSSAPS, a market share by volume of 93.1% and by value of 95.8% (references 3790 and following and 13,441 and following).</w:t>
      </w:r>
    </w:p>
    <w:p>
      <w:r>
        <w:t>389. These data must be compared to a study by the European Commission which estimates that the market launch of a competing generic of a reference product reduces, on average, the...</w:t>
      </w:r>
    </w:p>
    <w:p>
      <w:r>
        <w:rPr>
          <w:b/>
        </w:rPr>
        <w:t>[Pages 76–78]</w:t>
      </w:r>
    </w:p>
    <w:p>
      <w:r>
        <w:t>de 10 % de mon chiffre d'affaires » (paragraphe 152).</w:t>
      </w:r>
    </w:p>
    <w:p>
      <w:r>
        <w:t>414. En conséquence, ces remises quantitatives, en raison de leur ampleur et de leur nature, ont eu pour effet de restreindre la possibilité pour les pharmaciens de choisir leurs sources d'approvisionnement, en favorisant indûment Schering-Plough au détriment de ses concurrents.</w:t>
      </w:r>
    </w:p>
    <w:p>
      <w:r>
        <w:t>Conclusion sur les pratiques commerciales</w:t>
        <w:br/>
        <w:t>415. En raison de l'ensemble des éléments exposés ci-dessus, il apparaît que Schering-Plough a mis en œuvre des pratiques commerciales contraires à l'article 102 du TFUE, en appliquant un système de rabais qui a eu pour effet de restreindre la concurrence sur le marché des médicaments génériques, en particulier pour Buprénorphine Arrow®.</w:t>
      </w:r>
    </w:p>
    <w:p>
      <w:r>
        <w:rPr>
          <w:b/>
        </w:rPr>
        <w:t>[Pages 79–81]</w:t>
      </w:r>
    </w:p>
    <w:p>
      <w:r>
        <w:t>de 4 months of stock, which is a lot for this type of molecule" (reference 410). Another pharmacist also stated that they "placed an order on January 30, 2006, for a quantity of 350 boxes, which represented two to two and a half months of stock" (reference 2260). Depolabo considered that "[i]n the majority of cases, pharmacists stock massively and the 90-day payment term is useful" (reference 13661). These commercial offers are finally regarded as a success by the CEO of Schering-Plough during the Madrid conference in September 2006 ("“Generics Strategy” (…) Aggressive SP commercial policy in the pharmacies" reference 15 041 and paragraphs 238 and following).</w:t>
      </w:r>
    </w:p>
    <w:p>
      <w:r>
        <w:t>414. In any case, and as noted in the decision imposing precautionary measures, this saturation is all the more detrimental as "the shelf space of the pharmacy and the necessarily limited space dedicated to the storage of medications make it a scarce resource in view of the thousands of drug references that the pharmacist must keep available for consumers" (decision no. 07-MC-06, cited above, paragraph 124).</w:t>
      </w:r>
    </w:p>
    <w:p>
      <w:r>
        <w:t>On the duration of the practices</w:t>
      </w:r>
    </w:p>
    <w:p>
      <w:r>
        <w:t>415. The abusive practices attributed to Schering-Plough, quantitative discounts and payment terms and cash discounts, were offered to pharmacists from January 2006 to August 1, 2006.</w:t>
      </w:r>
    </w:p>
    <w:p>
      <w:r>
        <w:t>Conclusion on the commercial practices implemented by Schering-Plough</w:t>
      </w:r>
    </w:p>
    <w:p>
      <w:r>
        <w:t>416. It follows from the above that the parties involved, from January 2006 to August 1, 2006, resorted to quantitative discounts which, like loyalty rebates, aimed to prevent pharmacists from sourcing from Arrow, which the parties do not contest. The restrictive effects of these discounts were exacerbated by the payment terms and cash discounts. The abuse of dominant position thus committed, which is not contested by the parties, is contrary to Articles 102 of the Treaty on the Functioning of the European Union and L. 420-2 of the Commercial Code.</w:t>
      </w:r>
    </w:p>
    <w:p>
      <w:r>
        <w:t>4. ON THE GRIEVANCE OF COLLUSION NOTIFIED TO SCHERING-PLOUGH AND RECKITT BENCKISER</w:t>
      </w:r>
    </w:p>
    <w:p>
      <w:r>
        <w:t>417. The following will be addressed successively:</w:t>
        <w:br/>
        <w:t>- the existence of an agreement of wills;</w:t>
        <w:br/>
        <w:t>- the anti-competitive object of the practices.</w:t>
      </w:r>
    </w:p>
    <w:p>
      <w:r>
        <w:t>418. This grievance of collusion is not contested by Schering-Plough but only by Reckitt Benckiser. As stated above, the Authority must therefore only discuss the participation of the latter in the collusion.</w:t>
      </w:r>
    </w:p>
    <w:p>
      <w:r>
        <w:t>a) On the existence of an agreement of wills</w:t>
      </w:r>
    </w:p>
    <w:p>
      <w:r>
        <w:t>Preliminary observations</w:t>
      </w:r>
    </w:p>
    <w:p>
      <w:r>
        <w:t>419. According to the case law of the Court of Justice, the notion of a single, complex, and continuous infringement does not constitute a new form of infringement (judgment of July 8, 1999, Commission/Anic Partecipazioni, C-49/92 P, Rec. 1999 p. I-4125, point 133).</w:t>
      </w:r>
    </w:p>
    <w:p>
      <w:r>
        <w:t>420. Indeed, this notion simply aims to encompass a series of behaviors that partly fall under the notion of agreement and partly under that of concerted practice (Commission/Anic Partecipazioni judgment, cited above, point 114).</w:t>
      </w:r>
    </w:p>
    <w:p>
      <w:r>
        <w:t>421. Under these conditions, although a grievance of a single, complex, and continuous infringement has been notified to the parties, the Authority may, to establish a finding of infringement in the case at hand, examine the behavior of the parties with regard to the sole notion of agreement and the facts contained in the file and submitted to adversarial proceedings.</w:t>
      </w:r>
    </w:p>
    <w:p>
      <w:r>
        <w:t>Reminder of principles</w:t>
      </w:r>
    </w:p>
    <w:p>
      <w:r>
        <w:t>422. Proof of a vertical agreement requires demonstrating the agreement of wills of the parties to the agreement. The Union courts consistently rule that, for there to be an agreement, "it is sufficient that at least two undertakings have expressed their common will to behave on the market in a determined manner" (judgments of the Court of Justice of July 15, 1970, ACF Chemiefarma/Commission, 41/69, Rec. p. 661, point 112, of January 11, 1990, Sandoz Prodotti Farmaceutici/Commission, C-277/87, Rec. p. I-45, point 13, and of the Tribunal of October 26, 2000, Bayer/Commission, T-41/96, Rec. p. II-3383, point 67).</w:t>
      </w:r>
    </w:p>
    <w:p>
      <w:r>
        <w:t>423. The Court of Appeal of Paris has, in the same vein, recalled that the agreement of wills is demonstrated when the invitation of one party to implement a practice and the acquiescence of at least one other party to this invitation are established (judgment of the Court of Appeal of Paris of January 28, 2009, Epsé Joué Club, no. 2008/00255, p. 9). The court specified that this concurrence of wills "must be established on both sides, in the sense that it must be found that the sanctioned undertakings have expressed their common will to behave on the market in a determined manner" (judgment of January 26, 2012, Beauté Prestige International, no. 2010/23 945, p. 42).</w:t>
      </w:r>
    </w:p>
    <w:p>
      <w:r>
        <w:t>424. Proof of the agreement of wills between the parties can be established based on elements of any nature. The Union Tribunal stated in this regard that "the notion of agreement within the meaning of Article [101, paragraph 1, TFEU] as interpreted by case law, is focused on the existence of a concordance of wills between at least two parties, the form of manifestation of which is not important as long as it constitutes a faithful expression of those wills" (judgment of the Tribunal, Bayer/Commission cited above, point 69). In the same case, the Tribunal specified that "[t]he proof of an agreement between undertakings within the meaning of [101, paragraph 1, TFEU] of the Treaty must rely on the direct or indirect observation of the subjective element that characterizes the very notion of agreement, that is to say, a concordance of wills between economic operators on the implementation of a policy, the pursuit of an objective, or the adoption of a determined behavior on the market, irrespective of how the parties' willingness to behave on the market in accordance with the terms of said agreement is expressed" (judgment Bayer/Commission cited above, point 173).</w:t>
      </w:r>
    </w:p>
    <w:p>
      <w:r>
        <w:t>425. The Union Tribunal also recalled, in its judgment of September 27, 2006, GlaxoSmithKline Services/Commission (T-168/01, Rec. p. II-2969, point 83, not contested on this point by the judgment of the Court of Justice of October 6, 2009, GlaxoSmithKline Services/Commission C-501/06 P, C-513/06 P, C–515/06 P and C-519/06 P, Rec. p. I-9291), that the elements demonstrating the existence of the facts constituting a vertical restriction of competition "can constitute direct evidence, taking the form of a written document (judgment of the Tribunal of March 15, 2000, Cimenteries CBR e.a./Commission, T-25/95, T-26/95, T-30/95 to T-32/95, T-34/95 to T-39/95, T-42/95 to T-46/95, T-48/95, T-50/95 to T-65/95, T-68/95 to T-71/95, T-87/95, T-88/95, T-103/95 and T-104/95, Rec. p. II-491, point 862, and, on appeal, judgment Aalborg Portland e.a./Commission, [of January 7, 2004, C-204/00 P, C-205/00 P, C-211/00 P, C-213/00 P, C-217/00 P and C-219/00 P, Rec. p. I-123] point 237), or, failing that, indirect evidence, materialized for example by behavior (judgment Bayer/Commission, [cited above] point 73, and, on appeal, judgment BAI and Commission/Bayer, [C-2/01 P and C-3/01 P, Rec. p. I-23] point 100)".</w:t>
      </w:r>
    </w:p>
    <w:p>
      <w:r>
        <w:t>426. Thus, proof of an agreement between a supplier and its distributor can result from a simple exchange of correspondence (judgment of the Tribunal of April 30, 2009, CD-Contact Data/Commission, T-18/03, Rec. 2009 p. II-1021, points 55 and following, confirmed by judgment of the Court of Justice of February 10, 2011, Activision Blizzard Germany/Commission, C-260/09 P, Rec. 2011 p. I-419, points 33 and following).</w:t>
      </w:r>
    </w:p>
    <w:p>
      <w:r>
        <w:t>427. Furthermore, an agreement is concluded as soon as there is a concordance of wills on the very principle of restricting competition, even if the specific elements of the envisaged restriction are still subject to negotiations (see in particular judgments of the Tribunal of June 16, 2011, FMC Foret/Commission, T-191/06, Rec. 2011 p. II-2959, point 98 and of June 27, 2012, YKK e.a./Commission, T-448/07, point 75).</w:t>
      </w:r>
    </w:p>
    <w:p>
      <w:r>
        <w:t>Argument of the parties</w:t>
      </w:r>
    </w:p>
    <w:p>
      <w:r>
        <w:t>428. Reckitt Benckiser and its parent company first argue that no agreement of wills on the commercial practices in question is demonstrated.</w:t>
      </w:r>
    </w:p>
    <w:p>
      <w:r>
        <w:t>429. They consider in this regard that the concurrence of wills between themselves and Schering-Plough cannot result from Mr. Andy Y...'s email dated October 5, 2005. They criticize the fact that the notification of grievances does not compare the version of the plan sent by Schering-Plough with that attached by Mr. Andy Y... to his letter of October 5, 2005. They therefore believe that "nothing allows us to consider that this simple sending of an attachment, the identification of which remains to be demonstrated, could reveal the existence of a concurrence of wills" (Observations for Reckitt Benckiser Healthcare (UK) Limited and Reckitt Benckiser Plc dated February 18, 2013, p. 40).</w:t>
      </w:r>
    </w:p>
    <w:p>
      <w:r>
        <w:t>430. Regarding the performance optimization plan, it would appear according to the parties that the wording of Mr. Andy Y...'s email of October 5, 2005, demonstrates the absence of agreement on how a promotional offer should be implemented.</w:t>
      </w:r>
    </w:p>
    <w:p>
      <w:r>
        <w:t>431. In any case, Reckitt Benckiser could not oppose, under penalty of violating the provisions relating to the prohibition of collusion, a decision by Schering-Plough regarding the discounts granted on the market.</w:t>
      </w:r>
    </w:p>
    <w:p>
      <w:r>
        <w:t>432. Secondly, Reckitt Benckiser and its parent company also argue that an agreement of wills on the denigration practice in question is not demonstrated.</w:t>
      </w:r>
    </w:p>
    <w:p>
      <w:r>
        <w:t>433. The meeting of December 9, 2005, which only concerned the information of the AFSSAPS, cannot in this regard be interpreted as demonstrating an agreement of wills. Reckitt Benckiser would not have expressed its agreement with the plan presented. Schering-Plough would even have asserted its freedom of action on the French market for BHD vis-à-vis Reckitt Benckiser.</w:t>
      </w:r>
    </w:p>
    <w:p>
      <w:r>
        <w:t>434. Thirdly and finally, Reckitt Benckiser and its parent company argue that the differences between the versions of the plan exchanged on September 30 and October 5, 2005, would demonstrate the absence of concurrence of wills. The same assessment would also apply to the plan of October 5 and that of December 9, 2005.</w:t>
      </w:r>
    </w:p>
    <w:p>
      <w:r>
        <w:rPr>
          <w:b/>
        </w:rPr>
        <w:t>[Pages 82–84]</w:t>
      </w:r>
    </w:p>
    <w:p>
      <w:r>
        <w:t>Appreciation in the case at hand</w:t>
      </w:r>
    </w:p>
    <w:p>
      <w:r>
        <w:t>Concours de volontés</w:t>
      </w:r>
    </w:p>
    <w:p>
      <w:r>
        <w:t>435. It is established that Ms. Lina J... of Schering-Plough Corp. sent an email on September 30, 2005, to Mr. Andy Y... of Reckitt Benckiser and to Ms. Catherine H... of Schering-Plough (reference 13821). This email contained as an attachment the performance optimization plan (references 13822 to 13825).</w:t>
      </w:r>
    </w:p>
    <w:p>
      <w:r>
        <w:t>436. Through Mr. Andy Y..., Reckitt Benckiser responded on October 5, 2005, by sending an email to the CEO of Schering-Plough with Ms. Lina J... of Schering-Plough Corp. in copy (references 13891 and 13892). In this email, Reckitt Benckiser also presents the performance optimization plan (references 13893 to 13899). This presentation by Reckitt Benckiser incorporates several PowerPoint slides from the one previously sent by Ms. Lina J... on September 30, 2005. One of these common slides is as follows (reference 13824 for the Schering-Plough plan and reference 13899 for the Reckitt Benckiser plan):</w:t>
      </w:r>
    </w:p>
    <w:p>
      <w:r>
        <w:t>437. As the parties also indicate in their observations, "the optimization plan sent by Andy Y... as an attachment to this email of October 5, 2005, was prepared by Schering-Plough and sent to Reckitt Benckiser on September 30, 2005" (Observations for Reckitt Benckiser Healthcare (UK) Limited and Reckitt Benckiser plc dated February 18, 2013, p. 40).</w:t>
      </w:r>
    </w:p>
    <w:p>
      <w:r>
        <w:t>438. It is therefore established by these exchanges of correspondence between the companies that Schering-Plough and Reckitt Benckiser entered into an agreement aimed at "Delaying/Discouraging the entry of generics" on the themes notably of "bioequivalence" and "health issues," on the one hand, and "Minimizing the penetration of generics" through "sales to pharmacies" and "customer loyalty programs," on the other hand. A perfect understanding of the scope of these terms requires reading them in light of all the PowerPoints presenting the performance optimization plan.</w:t>
      </w:r>
    </w:p>
    <w:p>
      <w:r>
        <w:t>439. Determining which of the two companies was responsible for the development of the plan is irrelevant to demonstrating the concours de volontés.</w:t>
      </w:r>
    </w:p>
    <w:p>
      <w:r>
        <w:t>Object of the concours de volontés</w:t>
      </w:r>
    </w:p>
    <w:p>
      <w:r>
        <w:t>440. Regarding disparagement, Reckitt Benckiser acts in identifying the "categories of patients for whom a change in prescription may pose a high risk, namely injection, comorbidity, particularly for patients undergoing psychiatric treatment, and educating doctors about the risk through sales forces" ("patient types for who a change in Rx may carry a high risk i.e. injectors, co-morbidity e.g. psychiatric patients, and educate Drs on the risk through sales representatives," reference 13894). It is also specified that, "[w]hen a generic is available, obtain a supply as soon as possible to analyze and identify any potential risks, namely the difference in excipients" ("a generic is available, obtain a supply asap to analyze and identify any potential risks i.e. different excipients," reference 13894). This comparative analysis is confirmed in the continuation of the presentation. It concerns the appearance of the generic, its dissolution, and its excipients in order to communicate the results to doctors and pharmacists ("Compare generic product with Subutex • Appearance, Dissolution, Excipients • Communicate findings to medical, pharmacy professionals to ensure they can advise their patients appropriately," reference 13899).</w:t>
      </w:r>
    </w:p>
    <w:p>
      <w:r>
        <w:t>441. Regarding other loyalty-inducing commercial practices, Schering-Plough indicates in its presentation that a "legal reduction of 2.5% on the price of Subutex will not be sufficient to influence pharmacists in their substitution habits. A reduction of 10% (through service fees) would probably save at best 2 million euros in annual revenue" (reference 13824). These terms and rates of reduction, which should be offered to pharmacists, are reiterated in Reckitt Benckiser's presentation (reference 13896).</w:t>
      </w:r>
    </w:p>
    <w:p>
      <w:r>
        <w:t>442. The objective of these discounts is unambiguous. In Reckitt Benckiser's presentation, it is proposed, in the "Pharmacy: presentation of the schedule" and more particularly in the developments related to the "commercial pack" for the first quarter of 2006, to "boost the initial stock" ("Initial Stock Boost," reference 13895). This presentation further specifies that the goal is indeed to "provide pharmacists with short-term cash discounts to ensure adequate stock in place prior to the launch of the generic" ("[p]rovide short term cash discount to pharmacists to ensure adequate stock in place prior to generic launch," reference 13898).</w:t>
      </w:r>
    </w:p>
    <w:p>
      <w:r>
        <w:t>443. This agreement continued at least until the meeting of December 9, 2005, as evidenced by the PowerPoint from Schering-Plough presented during this meeting and one of the minutes established at its conclusion.</w:t>
      </w:r>
    </w:p>
    <w:p>
      <w:r>
        <w:t>Response to the parties' arguments</w:t>
      </w:r>
    </w:p>
    <w:p>
      <w:r>
        <w:t>444. The PowerPoint from Schering-Plough reiterates the various actions previously stated while structuring them. Several pages of this document focus on the commercial practices that should be offered to pharmacists to saturate their shelves. The objective is to "push Subutex stocks with the commercial offer. The goal is a 3-month stock. Add a rebate above the legal rebate of 2.5% (against -10.74% minimum for generics)" ("push Subutex stocks with commercial offer. Goal is 3 month stock. Add'I rebate above the 2.5% legal rebate (vs - 10.74% min for generics)," reference 4781). One of the "objectives at the pharmacy level" is therefore to "minimize the penetration of the generic &lt;35%" with a "commercial offer" to pharmacists ("[m]inimize generic penetration &lt;35%" and "[c]ommercial offer," reference 4784).</w:t>
      </w:r>
    </w:p>
    <w:p>
      <w:r>
        <w:t>445. The intention to create a "fear" among healthcare professionals regarding competing generics of their reference product is also reiterated. Indeed, in order to "raise barriers against the entry of generics," it is noted that "awareness of generic issues (traffic increase...)" ("[r]aise barriers to Generic entry" and "[s]ensitization on generic issues (traffic increase...)," reference 4780). The objective is a "local campaign to highlight risks (see below)" ("[g]rassroot campaign to highlight risks (see after)," references 4780). There must therefore be created among healthcare professionals "an awareness of the risks of increased trafficking" ("awareness on increased traffic risks," reference 4781). Regarding pharmacists more specifically, it is mentioned to produce "a 'fear' factor for treatment changes, psychiatric instability, risk of misuse and trafficking" ("'fear' factor for treatment changes, psychiatric instability, risk of misuse and trafficking," reference 4784).</w:t>
      </w:r>
    </w:p>
    <w:p>
      <w:r>
        <w:t>446. The minutes of the meeting of December 9 established by Reckitt Benckiser set several points. It is thus noted that "the launch of a generic could escalate the trafficking situation" and that "if a generic is launched, Gilles M... has defined a plan to optimize the performance of Subutex through the SP sales force to provide professional support to the pharmacy" ("[t]he launch of a generic could escalate the Trafficking situation" and "[i]f a generic is launched, GP defined plan to optimize Subutex performance through using SP salesforce to provide professional support to Pharmacy," reference 13462).</w:t>
      </w:r>
    </w:p>
    <w:p>
      <w:r>
        <w:t>447. Regarding the argument that the minutes of Schering-Plough Corp. dated December 11, 2005, would assert Schering-Plough's commitment to its commercial freedom, it should be recalled that this same report explains that the meeting achieved "the key objectives of the meeting which were: 1. To gain alignment on the French Optimization Plan and ensure that key actions are being taken by SP and RB to execute the plan" ("accomplished the key objectives for the meeting where were: 1. Gain alignment on the French Optimization Plan and that key actions are being taken by SP and RB to execute the plan," reference 14420). This report specifies at the end of the email that "overall, I think we accomplished our goals for the day and we now need to execute our action plan" ("Overall, I think that we accomplished our goals for the day and we now need to execute our action plan," reference 14421).</w:t>
      </w:r>
    </w:p>
    <w:p>
      <w:r>
        <w:t>448. Regarding the minutes of the meeting of December 9, 2005, it is clear that the sentence which would reaffirm according to the parties Schering-Plough's commercial freedom does not concern the developments related to the "French Generic Plan," but rather the "RB/SP Contract." It is recalled in this regard that the contract binding Schering-Plough and Reckitt Benckiser is not used to demonstrate the agreement of wills on the practices in question and that no practice resulting from its implementation has been reproached to the parties.</w:t>
      </w:r>
    </w:p>
    <w:p>
      <w:r>
        <w:t>449. Finally, Reckitt Benckiser is not reproached for not opposing the practices, but rather for having contributed its will to the pursued plan.</w:t>
      </w:r>
    </w:p>
    <w:p>
      <w:r>
        <w:t>450. The concordance of wills between the parties was established as early as October 5, 2005. The fact that the specific elements of the envisaged restriction were still the subject of discussions until December 9, 2005, is of no importance for the establishment of this concours de volontés.</w:t>
      </w:r>
    </w:p>
    <w:p>
      <w:r>
        <w:t>451. Based on the preceding findings, it is therefore established that as of October 5, 2005, Schering-Plough, which does not contest this, and Reckitt Benckiser entered into an agreement aimed at...</w:t>
      </w:r>
    </w:p>
    <w:p>
      <w:r>
        <w:rPr>
          <w:b/>
        </w:rPr>
        <w:t>[Pages 85–87]</w:t>
      </w:r>
    </w:p>
    <w:p>
      <w:r>
        <w:t>retard and dissuade the entry of the generic onto the market in question by means, on the one hand, of holding a disparaging discourse regarding the questioning of the bioequivalence of competing generics of Subutex® to doctors and pharmacists, concerning the health risks to patients (misuse and psychiatric instability) in the event of marketing these generics, and the increase in "trafficking" that would result from this marketing, and on the other hand, by resorting to loyalty-inducing commercial practices aimed at pharmacists in order to saturate their shelves. This agreement continued at least until the meeting of December 9, 2005.</w:t>
      </w:r>
    </w:p>
    <w:p>
      <w:r>
        <w:t>b) On the anti-competitive object of the practices</w:t>
      </w:r>
    </w:p>
    <w:p>
      <w:r>
        <w:t>On disparagement</w:t>
      </w:r>
    </w:p>
    <w:p>
      <w:r>
        <w:t>Reminder of principles</w:t>
      </w:r>
    </w:p>
    <w:p>
      <w:r>
        <w:t>452. It should first be recalled that Article L. 420-1 of the Commercial Code expressly prohibits concerted actions, agreements, express or tacit understandings between companies when they have the object or may have the effect of limiting access to the market by other companies.</w:t>
      </w:r>
    </w:p>
    <w:p>
      <w:r>
        <w:t>453. Secondly, in order to determine whether an agreement has a restrictive object within the meaning of Article 101 TFEU, "it is necessary to take into account not only the terms of an agreement but also other factors, such as the objectives pursued by the agreement as such, in light of the economic and legal context" (judgments of the Court of Justice of April 6, 2006, General Motors, C-551/03 P, Rec. 2006 p. I-3173, point 66 and of July 11, 2013, Gosselin Group/Commission, C-429/11 P, point 44).</w:t>
      </w:r>
    </w:p>
    <w:p>
      <w:r>
        <w:t>454. With regard specifically to the practice in question, it should be recalled that disparagement is understood as the behavior of publicly discrediting a person, product, or identified service, through the dissemination of inaccurate or subjective information against it. It differs from criticism in that it emanates from one or more economic actors seeking to gain a competitive advantage by penalizing a competitor (decision No. 07-D-33, cited above, paragraph 77).</w:t>
      </w:r>
    </w:p>
    <w:p>
      <w:r>
        <w:t>455. Such behavior can be apprehended in light of the articles prohibiting both abuses of a dominant position and agreements (judgments of the Paris Court of Appeal of February 5, 2008, Schering-Plough, No. 2007/21 342 and of December 2, 2010, Euro Power Technology, No. 2010/08010).</w:t>
      </w:r>
    </w:p>
    <w:p>
      <w:r>
        <w:t>456. To assess the existence of a disparagement practice, the Authority first verifies that the discourse in question has a certain publicity (judgment Euro Power Technology, cited above, p. 17).</w:t>
      </w:r>
    </w:p>
    <w:p>
      <w:r>
        <w:t>457. The Authority then seeks to verify whether the commercial discourse held by at least one of the companies in the agreement is based on objective findings or whether it consists of unverified assertions (decision No. 04-D-75, cited above, paragraphs 27 and following).</w:t>
      </w:r>
    </w:p>
    <w:p>
      <w:r>
        <w:t>458. Then, in order to determine whether this commercial discourse is likely to influence the structure of the sector, the Authority examines the expected or actual effects of this discourse on the business partners or potential customers of one or more competitors of the members of the agreement. These expected or actual effects must tend to degrade the position, in the sector in question, of one or more competitors (decision No. 04-D-75, cited above, paragraph 37).</w:t>
      </w:r>
    </w:p>
    <w:p>
      <w:r>
        <w:t>459. It follows from the above that, while it is perfectly lawful for a supplier of pharmaceutical products and its distributor to highlight the objective qualities of a product, the act of highlighting not only qualities but differences that, in the context of the discourse held and the conditions under which it is heard, can only be understood as substantial differences, likely to raise an objective doubt about the qualities of the competing generic specialties, may indicate an intention to mislead healthcare professionals and constitute an agreement.</w:t>
      </w:r>
    </w:p>
    <w:p>
      <w:r>
        <w:t>Argument of the parties</w:t>
      </w:r>
    </w:p>
    <w:p>
      <w:r>
        <w:t>460. Reckitt Benckiser and its parent company believe that the relationships maintained with Schering-Plough "did not exceed the framework of normal commercial relations under the Contract (license)" (Observations in response to the report, p. 77). They indeed believe that the elements discussed between Schering-Plough and Reckitt Benckiser were not aimed at preventing the entry of generics onto the market. According to them, the objective pursued relates to the protection of their legitimate commercial interests. The performance optimization plan would therefore have no anti-competitive object. These various arguments also apply to the commercial practices considered.</w:t>
      </w:r>
    </w:p>
    <w:p>
      <w:r>
        <w:t>461. They also consider that Reckitt Benckiser, being absent from the market in question, cannot be accused of a disparagement practice. They further contest the qualification of restriction by object of a disparagement practice within the framework of the provisions relating to the prohibition of agreements.</w:t>
      </w:r>
    </w:p>
    <w:p>
      <w:r>
        <w:t>Assessment in the case at hand</w:t>
      </w:r>
    </w:p>
    <w:p>
      <w:r>
        <w:t>462. As a preliminary point, the Authority does not consider that the license agreement binding Reckitt Benckiser and Schering-Plough is restrictive of competition. It has never relied on it to assess the existence of an agreement of wills or a restriction of competition.</w:t>
      </w:r>
    </w:p>
    <w:p>
      <w:r>
        <w:t>463. As previously noted, no medical or scientific study allowed, at the time of the practices in question, to conclude that Buprénorphine Arrow® was not bioequivalent to Subutex®, constituted a specific danger to the health of patients, whether in terms of misuse or psychiatric instability, or could have caused an increase in "trafficking".</w:t>
      </w:r>
    </w:p>
    <w:p>
      <w:r>
        <w:t>464. Consequently, Schering-Plough and Reckitt Benckiser were not entitled to establish a communication aimed at "Delaying/Discouraging the entry of generics" on the themes of "bioequivalence" and "health issues" (references 13 824 for Schering-Plough's plan and 13 899 for Reckitt Benckiser's plan).</w:t>
      </w:r>
    </w:p>
    <w:p>
      <w:r>
        <w:t>465. It had been established that Schering-Plough's communication would be based on the differences in appearance, dissolution, and excipients between the original and Arrow's generic and on instilling a "fear" in doctors and pharmacists regarding a change in treatment in light of the "psychiatric instability (of) the risk of misuse and trafficking" (references 4781, 4784, 13894, and 13899).</w:t>
      </w:r>
    </w:p>
    <w:p>
      <w:r>
        <w:t>466. Finally, the effects of this communication aimed to degrade the future position of the first companies launching a generic of Subutex® (references 4781, 4784, 13462, 13824, 13893, and 13899). It must be noted that at the time of the practices in question, Schering-Plough and Reckitt Benckiser knew that only Arrow would be the first to enter the French market for the BHD marketed in town (reference 4785).</w:t>
      </w:r>
    </w:p>
    <w:p>
      <w:r>
        <w:t>467. It is therefore established that from October 5, 2005, to December 9, 2005, Schering-Plough, which does not contest this, and Reckitt Benckiser entered into an agreement aimed at disparaging Buprénorphine Arrow® to healthcare professionals in order to hinder this product's access to the market in question.</w:t>
      </w:r>
    </w:p>
    <w:p>
      <w:r>
        <w:t>On commercial practices</w:t>
      </w:r>
    </w:p>
    <w:p>
      <w:r>
        <w:t>468. For the reminder of the principles applicable to the commercial practices in question, reference is made to paragraphs 452 and 453 above.</w:t>
      </w:r>
    </w:p>
    <w:p>
      <w:r>
        <w:t>469. The guiding principles or terms of the commercial practices in question presented during the meeting of December 9, 2005, are as follows (reference 4784):</w:t>
      </w:r>
    </w:p>
    <w:p>
      <w:r>
        <w:t>470. It follows from the findings and assessments above that the purpose of the agreement concluded between Schering-Plough and Reckitt Benckiser was indeed to saturate the pharmacists' shelves (references 4781, 13 824, 13 897 to 13 899). This agreement was also to be implemented in the first quarter of 2006, that is, before the market entry date of Arrow's generic (reference 13895). In this regard, the PowerPoint of December 9, 2005, indicates in its "Methodology" that the commercial practices should be launched "by the end of January (= just before the entry of the generic)" ("Launch by the end of January (= just before generic entry)", reference 4785).</w:t>
      </w:r>
    </w:p>
    <w:p>
      <w:r>
        <w:t>471. The objective pursued by the agreement in question was indeed restrictive of competition. These practices were to allow for the saturation of pharmacists' shelves for three months (reference 4781: "Push Subutex stocks with commercial offer. Goal is 3 month stock").</w:t>
      </w:r>
    </w:p>
    <w:p>
      <w:r>
        <w:t>472. Assessed in their economic context, these commercial practices targeted "approximately 2,000 pharmacies (most important client, 40% of turnover)" ("approximately 2,000 pharmacies most important client, 40% turnover", reference 4785).</w:t>
      </w:r>
    </w:p>
    <w:p>
      <w:r>
        <w:t>473. The discounts offered to pharmacists, examined in their legal context, exceeded the threshold of 2.5% authorized by legislation (paragraphs 70 and following). Aware of offering a product at a less attractive price than that of the generics if they complied with the previously outlined legislation, Schering-Plough and Reckitt Benckiser decided to offer discounts exceeding 10% in order to minimize the existing price differential through fictitious distinct services (references 4784 and 13824). The presentation of the meeting of December 9, 2005, sets the following objective: "Add a rebate above the legal rebate of 2.5% (against -10.74% minimum for generics)" ("Add’I rebate above the 2.5% legal rebate (vs – 10.74 % min for generics)", reference 4781).</w:t>
      </w:r>
    </w:p>
    <w:p>
      <w:r>
        <w:t>474. These distinct services could indeed only be fictitious. Firstly, the objective pursued, as demonstrated above, was not a better understanding of...</w:t>
      </w:r>
    </w:p>
    <w:p>
      <w:r>
        <w:rPr>
          <w:b/>
        </w:rPr>
        <w:t>[Pages 88–90]</w:t>
      </w:r>
    </w:p>
    <w:p>
      <w:r>
        <w:t>minimum for generics)" ("Add'I rebate above the 2.5% legal rebate (vs – 10.74% min for generics)", reference 4781).</w:t>
      </w:r>
    </w:p>
    <w:p>
      <w:r>
        <w:t>474. These distinct services could indeed only be fictitious. Firstly, the objective pursued, as demonstrated above, was not a better understanding of the functioning of the market or the establishment of normal business relationships with pharmacists, but rather the saturation of their shelves.</w:t>
      </w:r>
    </w:p>
    <w:p>
      <w:r>
        <w:t>475. Secondly, setting the level of remuneration for a distinct service based on the quantity of the product purchased is inconsistent because the level of this remuneration no longer depends on the service, which is the consideration for the remuneration, but on the quantity purchased. Reckitt Benckiser cannot therefore contest its knowledge of the fictitious nature of the distinct services.</w:t>
      </w:r>
    </w:p>
    <w:p>
      <w:r>
        <w:t>476. It is thus established that the company Schering-Plough, which does not contest this, and Reckitt Benckiser entered into an anti-competitive agreement aimed at hindering the penetration of Buprénorphine Arrow® in the urban market of BHD in France by saturating the shelves of pharmacists among the most important dispensers of Subutex®. Such a practice is contrary to Articles 101 of the TFEU and L. 420-1 of the Commercial Code.</w:t>
      </w:r>
    </w:p>
    <w:p>
      <w:r>
        <w:t>D. ON THE ATTRIBUTION OF THE PRACTICES IN QUESTION</w:t>
      </w:r>
    </w:p>
    <w:p>
      <w:r>
        <w:t>1. REMINDER OF PRINCIPLES</w:t>
      </w:r>
    </w:p>
    <w:p>
      <w:r>
        <w:t>477. The notion of an undertaking and the rules of attribution fall under the substantive rules of Union competition law. The interpretation given by the Union courts therefore binds the national competition authority and the national courts when they apply Articles 101 and 102 of the TFEU alongside the internal competition rules of the Commercial Code (judgments of the Court of Justice of June 4, 2009, T-Mobile Netherlands e.a., C-8/08, Rec. 2009 p. I-4529, points 49 and 50, and of the Paris Court of Appeal of March 29, 2012, Lacroix Signalisation e.a., no. 2011/01228, p. 18).</w:t>
      </w:r>
    </w:p>
    <w:p>
      <w:r>
        <w:t>a) Attribution within a group of companies</w:t>
      </w:r>
    </w:p>
    <w:p>
      <w:r>
        <w:t>478. It follows from consistent case law in this regard that Articles 101 and 102 of the TFEU target infringements committed by undertakings.</w:t>
      </w:r>
    </w:p>
    <w:p>
      <w:r>
        <w:t>479. The Union judge has specified that the notion of an undertaking must be understood as designating an economic unit, even if, from a legal point of view, it is composed of several natural or legal persons (judgments of the Court of Justice of September 10, 2009, Akzo Nobel e.a./Commission, C-97/08 P, Rec. 2009 p. I-8237, point 55, of March 29, 2011, ArcelorMittal Luxembourg/Commission and Commission/ArcelorMittal Luxembourg e.a., C-201/09 P and C-216/09 P, Rec. 2011 p. I-2239, point 95, of September 29, 2011, Elf Aquitaine/Commission, C-521/09 P, not yet published in the Recueil, point 53, and of the Paris Court of Appeal of March 29, 2012, Lacroix Signalisation e.a., no. 2011/01228, p. 18).</w:t>
      </w:r>
    </w:p>
    <w:p>
      <w:r>
        <w:t>480. It is this economic entity that must, when it infringes competition rules, be held accountable for this infringement, in accordance with the principle of personal responsibility (judgments Akzo Nobel e.a./Commission, cited above, point 56, ArcelorMittal Luxembourg/Commission and Commission/ArcelorMittal Luxembourg e.a., cited above, point 95, Elf Aquitaine/Commission, cited above, point 53, and Lacroix Signalisation e.a., cited above, pp. 18 and 20), on which Union competition law is based (judgment of the Court of Justice of January 20, 2011, General Química e.a./Commission, C-90/09 P, Rec. p. I-1, point 52).</w:t>
      </w:r>
    </w:p>
    <w:p>
      <w:r>
        <w:t>481. Thus, within a group of companies, the behavior of a subsidiary can be attributed to the parent company particularly when, although having a distinct legal personality, this subsidiary does not autonomously determine its behavior in the market, but essentially follows the instructions given to it by the parent company, considering in particular the economic, organizational, and legal links that unite these two legal entities (judgments Akzo Nobel e.a./Commission, cited above, point 58, ArcelorMittal Luxembourg/Commission and Commission/ArcelorMittal Luxembourg e.a., cited above, point 96, Elf Aquitaine/Commission, cited above, point 54, and Lacroix Signalisation e.a., cited above, pp. 18 and 19).</w:t>
      </w:r>
    </w:p>
    <w:p>
      <w:r>
        <w:t>482. In the particular case where a parent company holds, directly or indirectly through an intermediary company, all or almost all of the capital of its subsidiary that engages in infringing behavior, there is a presumption that this parent company exerts a decisive influence on the behavior of its subsidiary (judgments of the Court of Justice, Akzo Nobel e.a./Commission, cited above, point 60, General Química e.a./Commission, cited above, points 2 and 42, of September 29, 2011, Arkema/Commission, C-520/09 P, point 42, and of the Paris Court of Appeal, Lacroix Signalisation e.a., cited above, p. 19).</w:t>
      </w:r>
    </w:p>
    <w:p>
      <w:r>
        <w:t>483. In this hypothesis, it is sufficient for the competition authority to provide evidence of this capital holding to attribute the behavior of the subsidiary that engaged in the practices to the parent company (judgments Akzo Nobel e.a./Commission, cited above, point 61, Elf Aquitaine/Commission, cited above, point 57, and Lacroix Signalisation e.a., cited above, p. 19).</w:t>
      </w:r>
    </w:p>
    <w:p>
      <w:r>
        <w:t>484. In this regard, it is not required, to attribute to a parent company the acts committed by its subsidiary, to prove that the parent company was directly involved in the practices or was aware of the incriminated behaviors. As noted by the Union judge, "it is not a relationship of instigation regarding the infringement between the parent company and its subsidiary nor, even more so, an implication of the former in the said infringement, but the fact that they constitute a single undertaking within the meaning of Article 101 of the TFEU that allows the Commission to address the decision imposing fines to the parent company of a group of companies" (judgments of the Tribunal of December 12, 2007, Akzo Nobel e.a./Commission, T-112/05, Rec. 2007 p. II-5049, point 58, and of October 27, 2010, Alliance One International e.a./Commission, T-24/05, Rec. 2010 p. II-5329, point 169).</w:t>
      </w:r>
    </w:p>
    <w:p>
      <w:r>
        <w:t>485. The parent company can overturn this presumption by providing evidence that demonstrates that its subsidiary autonomously determines its course of action in the market. If the presumption is not overturned, the competition authority will be able to hold the parent company jointly liable for the payment of the sanction imposed on its subsidiary (judgments Arkema/Commission, cited above, points 40 and 41, and Lacroix Signalisation e.a., cited above, p. 20).</w:t>
      </w:r>
    </w:p>
    <w:p>
      <w:r>
        <w:t>486. In the case where a parent company does not hold, directly or indirectly through an intermediary company, all or almost all of the capital of its subsidiary that engages in infringing behavior, it is necessary to verify that the parent company actually exerts a decisive influence on the behavior of its subsidiary (judgment Alliance One International e.a./Commission, cited above, point 126). In such a case, to establish whether a subsidiary does not autonomously determine its behavior in the market, it is appropriate to take into account all relevant elements specific to the circumstances of the case, relating to the economic, organizational, and legal links that unite the subsidiary to the parent company (same judgment, points 126 and 171).</w:t>
      </w:r>
    </w:p>
    <w:p>
      <w:r>
        <w:t>b) Attribution in the case of restructurings, transfers, mergers, or others</w:t>
      </w:r>
    </w:p>
    <w:p>
      <w:r>
        <w:t>487. As established by consistent case law, when the existence of an infringement is established, it is necessary to determine the natural or legal person who was responsible for the operation of the undertaking in question at the time the infringement was committed, so that they can be held accountable for this infringement (see, in particular, judgments of the Tribunal of December 17, 1991, Enichem Anic/Commission, T-6/89, Rec. p. II-1623, point 236, and of the Court of Cassation of June 23, 2004, BNP Paribas e.a., no. 01-17896 and 02-10066). The infringement must also be unequivocally attributed to a legal person who will be liable to be sanctioned (judgment of the Court of Justice of September 10, 2009, Akzo Nobel e.a./Commission, C-97/08 P, Rec. p. I-8237, point 57).</w:t>
      </w:r>
    </w:p>
    <w:p>
      <w:r>
        <w:t>488. As long as the legal person responsible for the operation of the undertaking that implemented practices infringing competition rules legally exists, it is this person who must be held responsible for these practices. In particular, it continues to be so even if the material and human elements that contributed to the commission of the infringement have been transferred to a third party (judgment of the Court of Cassation of November 20, 2001, SACER e.a., no. 99-16776 and 99-18253; see also decision no. 08-D-09 of May 6, 2008, concerning practices implemented in the funeral services sector in Lyon and its metropolitan area, paragraph 211, confirmed by judgment of the Paris Court of Appeal of March 31, 2009, Agence funéraire lyonnaise pompes funèbres Viollet, no. 2008/11 353, p. 24).</w:t>
      </w:r>
    </w:p>
    <w:p>
      <w:r>
        <w:t>489. If this legal person has changed its corporate name or legal form, it nonetheless continues to be liable for the infringement committed (judgment of the Court of Justice of January 7, 2004, Aalborg Portland e.a./Commission, C-204/00 P, C-205/00 P, C-211/00 P, C-213/00 P, C-217/00 P and C-219/00 P, Rec. p. I-123, point 59; see also decision no. 01-D-14 of May 4, 2001, concerning practices identified during markets for the manufacture and implementation of bituminous mixtures on the departmental roads of Isère, p. 20).</w:t>
      </w:r>
    </w:p>
    <w:p>
      <w:r>
        <w:t>490. Conversely, when the legal person responsible for the operation of the undertaking that committed the practices has ceased to exist legally, these practices must be attributed to the legal person to which the undertaking has been legally transferred, that is to say, the one that has received the rights and obligations of the person who committed the infringement, and, in the absence of such a transfer, to the one that ensures its economic and functional continuity in fact (judgments BNP Paribas e.a., cited above, and of the Paris Court of Appeal of January 14, 2009, Eurelec Midi Pyrénées e.a., no. 2008/01095, p. 5).</w:t>
      </w:r>
    </w:p>
    <w:p>
      <w:r>
        <w:t>491. This is particularly the case when a legal person is absorbed by another. In this case, the practices for which the absorbed company is responsible are attributed to the legal person that has absorbed it (judgment of the Tribunal of December 14, 2006, Raiffeisen Zentralbank Österreich/Commission, T-259/02 to T-264/02 and T-271/02, Rec. p. II-5169, paragraph 326). The same may also apply to the company resulting from the merger between the perpetrator of the practices and another entity.</w:t>
      </w:r>
    </w:p>
    <w:p>
      <w:r>
        <w:t>2. ARGUMENTS OF THE PARTIES</w:t>
      </w:r>
    </w:p>
    <w:p>
      <w:r>
        <w:t>492. In order to contest the presumption of attribution of Reckitt Benckiser's practices to its parent company, Reckitt Benckiser plc, these two companies present a series of arguments.</w:t>
      </w:r>
    </w:p>
    <w:p>
      <w:r>
        <w:rPr>
          <w:b/>
        </w:rPr>
        <w:t>[Pages 91–93]</w:t>
      </w:r>
    </w:p>
    <w:p>
      <w:r>
        <w:t>493. In this regard, they argue that the Authority "has always examined the factual elements specific to each case aimed at establishing the possibility for a parent company to effectively exercise a determining influence over its subsidiary" (Observations of August 21, 2013, p. 139).</w:t>
      </w:r>
    </w:p>
    <w:p>
      <w:r>
        <w:t>494. Furthermore, they consider that when a competition authority intends to apply the presumption of imputability, it must have "at least one additional element supporting the absence of autonomy of the subsidiary" (Observations of February 18, 2013, p. 85).</w:t>
      </w:r>
    </w:p>
    <w:p>
      <w:r>
        <w:t>495. This second element would be all the more necessary since no element in the file would demonstrate the direct participation of the parent company in the practices in question and that there were throughout the practices in question intermediate legal entities.</w:t>
      </w:r>
    </w:p>
    <w:p>
      <w:r>
        <w:t>3. ASSESSMENT IN THE CASE AT HAND</w:t>
      </w:r>
    </w:p>
    <w:p>
      <w:r>
        <w:t>a) On the imputability of Schering-Plough's practices</w:t>
      </w:r>
    </w:p>
    <w:p>
      <w:r>
        <w:t>On the evolution of the Schering-Plough group structure</w:t>
      </w:r>
    </w:p>
    <w:p>
      <w:r>
        <w:t>496. At the time the practices commenced, Schering-Plough (SA) was 100% controlled by Schering-Plough Holdings France (SAS), which was itself 100% controlled by Schering-Plough Corporation. Moreover, Schering-Plough Holdings France wholly owned Unicet, a legal structure with no activity.</w:t>
      </w:r>
    </w:p>
    <w:p>
      <w:r>
        <w:t>497. On November 3, 2009, Schering-Plough Corporation and the American company Merck &amp; Co merged. In this context, Schering-Plough Corporation acquired control of Merck &amp; Co, which became its subsidiary, renamed Merck Sharp &amp; Dhome Corporation on this occasion. Schering-Plough Corporation was renamed Merck &amp; Co.</w:t>
      </w:r>
    </w:p>
    <w:p>
      <w:r>
        <w:t>498. On April 12, 2011, Schering-Plough Holdings France acquired Financière MSD (SAS). On June 1, 2011, Schering-Plough Holdings France absorbed Financière MSD. The newly merged entity took the name Financière MSD (SAS), which is 100% controlled by Merck &amp; Co. As of this date, Schering-Plough is therefore 100% controlled by Financière MSD.</w:t>
      </w:r>
    </w:p>
    <w:p>
      <w:r>
        <w:t>499. On July 1, 2011, Schering-Plough undertook a partial asset transfer (sales and marketing activities, notably of human pharmaceutical products) in favor of Unicet (SAS). On this occasion, Unicet was renamed MSD France. From this date, Financière MSD controls 100% of the capital of Schering-Plough.</w:t>
      </w:r>
    </w:p>
    <w:p>
      <w:r>
        <w:t>On the imputability of Schering-Plough's behavior</w:t>
      </w:r>
    </w:p>
    <w:p>
      <w:r>
        <w:t>500. Schering-Plough, although having undertaken a partial asset transfer, continues to exist legally and must therefore be held accountable for the first two grievances of abuse of dominant position and the third grievance of collusion for the practices in which it participated.</w:t>
      </w:r>
    </w:p>
    <w:p>
      <w:r>
        <w:t>501. These same grievances must also be attributed to Financière MSD and Merck &amp; Co due to their status as parent companies that exercised a determining influence over Schering-Plough's behavior throughout the entire period of the commission of the practices.</w:t>
      </w:r>
    </w:p>
    <w:p>
      <w:r>
        <w:t>502. The responsibilities in question are not contested by the parties involved.</w:t>
      </w:r>
    </w:p>
    <w:p>
      <w:r>
        <w:t>On the imputability of Merck &amp; Co's behavior</w:t>
      </w:r>
    </w:p>
    <w:p>
      <w:r>
        <w:t>503. Merck &amp; Co, formerly Schering-Plough Corporation, played a personal and determining role in the realization of the third grievance of collusion (see in particular paragraphs 100 and 101). This practice must therefore be attributed to it as a co-author.</w:t>
      </w:r>
    </w:p>
    <w:p>
      <w:r>
        <w:t>504. The responsibility in question is not contested by the party involved.</w:t>
      </w:r>
    </w:p>
    <w:p>
      <w:r>
        <w:t>b) On the imputability of Reckitt Benckiser's practices</w:t>
      </w:r>
    </w:p>
    <w:p>
      <w:r>
        <w:t>On the evolution of the Reckitt Benckiser group structure</w:t>
      </w:r>
    </w:p>
    <w:p>
      <w:r>
        <w:t>505. At the time the practices of the third grievance commenced, the entire capital of Reckitt Benckiser Healthcare (UK) Ltd was indirectly controlled by the British parent company Reckitt Benckiser plc.</w:t>
      </w:r>
    </w:p>
    <w:p>
      <w:r>
        <w:t>506. Since the cessation of the practices of the third grievance, Reckitt Benckiser's situation has not changed. Indeed, its entire capital has always been indirectly controlled by Reckitt Benckiser plc.</w:t>
      </w:r>
    </w:p>
    <w:p>
      <w:r>
        <w:t>On the imputability of Reckitt Benckiser's behavior</w:t>
      </w:r>
    </w:p>
    <w:p>
      <w:r>
        <w:t>507. Reckitt Benckiser must therefore be held accountable for the third grievance of collusion for the practices it implemented. This same grievance must also be attributed to Reckitt Benckiser plc due to its status as a parent company that exercised a determining influence over Reckitt Benckiser's behavior throughout the entire period of the commission of the practices.</w:t>
      </w:r>
    </w:p>
    <w:p>
      <w:r>
        <w:t>508. The arguments previously presented by these two companies cannot overturn the presumption of imputability.</w:t>
      </w:r>
    </w:p>
    <w:p>
      <w:r>
        <w:t>509. While in certain decisions the Authority has indeed examined the factual elements specific to each case, it did not resort in these decisions to the presumption of imputability outlined above.</w:t>
      </w:r>
    </w:p>
    <w:p>
      <w:r>
        <w:t>510. The companies involved cannot furthermore require the Authority to support the presumption of imputability with a "second element" other than the holding of all or nearly all of the subsidiary's capital. Indeed, nothing in the Union's jurisprudence indicates that an additional element should be provided. On the contrary, the Court of Justice has stated that "it is sufficient for the (competition authority) to prove that the entire capital of a subsidiary is held by its parent company for it to be presumed that the latter effectively exercises a determining influence over the commercial policy of that subsidiary" (judgment of the Court of Justice of July 19, 2012, Alliance One International and Standard Commercial Tobacco/Commission and Commission/Alliance One International et al., C-628/10 P and C-14/11 P, not yet published in the Official Reports, point 47).</w:t>
      </w:r>
    </w:p>
    <w:p>
      <w:r>
        <w:t>511. The Authority is also not required to demonstrate the direct participation of Reckitt Benckiser plc in the practices in question. This circumstance is indeed irrelevant (judgments of the Tribunal of April 30, 2009, Itochu/Commission, T-12/03, Rec. p. II-909, point 58, and of the Paris Court of Appeal of October 10, 2013, Nestlé Purina Petcare France et al., no. 2012/07909, p. 25).</w:t>
      </w:r>
    </w:p>
    <w:p>
      <w:r>
        <w:t>512. The existence of intermediate companies between the subsidiary, author of the practices in question, and its parent company constitutes, finally, a circumstance that cannot overturn the presumption of imputability (judgment General Química et al./Commission, C-90/09 P, cited above, point 88). Since Reckitt Benckiser plc has never ceased to hold the entire capital of Reckitt Benckiser, the mere succession of intermediate companies holding directly the capital of the latter company cannot overturn the presumption of imputability.</w:t>
      </w:r>
    </w:p>
    <w:p>
      <w:r>
        <w:t>E. ON SANCTIONS</w:t>
      </w:r>
    </w:p>
    <w:p>
      <w:r>
        <w:t>513. The provisions of I of Article L. 464-2 of the Commercial Code and Article 5 of Regulation (EC) No. 1/2003 of the Council, of December 16, 2002, concerning the implementation of the competition rules provided for in Articles 81 and 82 of the Treaty (OJ 2003, L 1, p. 1) empower the Authority to impose monetary sanctions on companies and organizations that engage in anti-competitive practices prohibited by Articles L. 420-1 and L. 420-2 of the Commercial Code as well as by Articles 101 TFEU and 102 TFEU.</w:t>
      </w:r>
    </w:p>
    <w:p>
      <w:r>
        <w:t>514. Under the fourth paragraph of I of Article L. 464-2 of the Commercial Code, the maximum amount of the sanction that can be imposed on a company is "10% of the highest amount of worldwide turnover excluding taxes achieved during one of the financial years closed since the financial year preceding that in which the practices were implemented. If the accounts of the company concerned have been consolidated or combined under the applicable texts to its legal form, the turnover taken into account is that appearing in the consolidated or combined accounts of the consolidating or combining company."</w:t>
      </w:r>
    </w:p>
    <w:p>
      <w:r>
        <w:t>515. The third paragraph of I of Article L. 464-2 of the Commercial Code states that "monetary sanctions are proportionate to the seriousness of the alleged facts, the importance of the damage caused to the economy, the individual situation of the sanctioned organization or company or the group to which the company belongs, and the possible repetition of practices prohibited by (Title VI of Book IV of the Commercial Code). They are determined individually for each sanctioned company or organization and reasoned for each sanction."</w:t>
      </w:r>
    </w:p>
    <w:p>
      <w:r>
        <w:t>516. In this case, the Authority will assess these legal criteria according to the practical modalities described in its press release of May 16, 2011, concerning the method of determining monetary sanctions.</w:t>
      </w:r>
    </w:p>
    <w:p>
      <w:r>
        <w:t>517. Schering-Plough and Reckitt Benckiser have been given the opportunity to make observations on the main elements of law and fact in the file that could, according to the Authority's investigation services, influence the determination of the sanction that could be imposed on them, for the first concerning the three grievances and for the second concerning only grievance no. 3. The presentation of these various elements does not prejudge the assessment of the college on the determinants of the sanction, which falls solely within its competence.</w:t>
      </w:r>
    </w:p>
    <w:p>
      <w:r>
        <w:t>1. ON THE SANCTIONS IMPOSED FOR ABUSE OF DOMINANT POSITION (GRIEVANCES NO. 1 AND 2)</w:t>
      </w:r>
    </w:p>
    <w:p>
      <w:r>
        <w:t>518. The Authority may impose multiple sanctions on each company or organization involved in the event that the interested party has committed several infringements (judgment of the Court of Cassation of June 29, 2007, Bouygues Télécom et al., no. 07-10303, 07-10354 and 07-10397), as is the case here, determining each of them based on the criteria provided by the Commercial Code (see, in this sense, judgment of the Court of Cassation of...</w:t>
      </w:r>
    </w:p>
    <w:p>
      <w:r>
        <w:rPr>
          <w:b/>
        </w:rPr>
        <w:t>[Pages 94–96]</w:t>
      </w:r>
    </w:p>
    <w:p>
      <w:r>
        <w:t>santé publique, mais visait uniquement à nuire à la réputation du générique de Subutex® et à freiner son développement sur le marché.</w:t>
      </w:r>
    </w:p>
    <w:p>
      <w:r>
        <w:t>537. En conséquence, l’Autorité considère que la gravité des faits justifie une sanction significative, proportionnée à l'ampleur de l'infraction et à ses effets sur le marché des médicaments génériques.</w:t>
      </w:r>
    </w:p>
    <w:p>
      <w:r>
        <w:t>c) En ce qui concerne la détermination du montant de la sanction</w:t>
      </w:r>
    </w:p>
    <w:p>
      <w:r>
        <w:t>538. Le montant de la sanction sera déterminé en tenant compte de la valeur des ventes, de la gravité des faits, ainsi que de la durée des pratiques anticoncurrentielles.</w:t>
      </w:r>
    </w:p>
    <w:p>
      <w:r>
        <w:t>539. L’Autorité appliquera une approche graduée pour établir le montant de la sanction, en prenant en considération les éléments suivants : la valeur des ventes de Subutex® en 2006, la nature des pratiques anticoncurrentielles, et l'impact sur le marché des médicaments génériques.</w:t>
      </w:r>
    </w:p>
    <w:p>
      <w:r>
        <w:t>540. En conclusion, l’Autorité imposera une sanction pécuniaire unique à Schering-Plough, Financière MSD et Merck &amp; Co., qui sera proportionnée à la gravité des infractions constatées et à leur impact sur le marché.</w:t>
      </w:r>
    </w:p>
    <w:p>
      <w:r>
        <w:rPr>
          <w:b/>
        </w:rPr>
        <w:t>[Pages 97–99]</w:t>
      </w:r>
    </w:p>
    <w:p>
      <w:r>
        <w:t>protection of public health. It intrinsically aimed to instill doubt about the safety and efficacy of the competing product, suggesting to healthcare professionals that they draw clear and precise consequences from the doubts, even fears, that this misleading presentation was likely to provoke.</w:t>
      </w:r>
    </w:p>
    <w:p>
      <w:r>
        <w:t>Regarding the damage to the economy</w:t>
      </w:r>
    </w:p>
    <w:p>
      <w:r>
        <w:t>537. The legal criterion for the significance of the damage caused to the economy is not to be confused with the harm that the victims of the practices in question may have suffered, but is assessed based on the general disruption that they are likely to cause to the economy (see, for example, Paris Court of Appeal judgment of October 8, 2008, SNEF, no. 2007/18 040, p. 4).</w:t>
      </w:r>
    </w:p>
    <w:p>
      <w:r>
        <w:t>538. The Authority, which is not required to precisely quantify the damage caused to the economy, must assess its existence and significance based on as comprehensive an analysis as possible of the elements in the file and by examining the various aspects of the general disruption to the normal functioning of the economy caused by the practices in question. The existence of damage to the economy cannot therefore be presumed (Court of Cassation judgment of April 7, 2010, Orange France et al., no. 09-12984, 09-13163, and 09-65940).</w:t>
      </w:r>
    </w:p>
    <w:p>
      <w:r>
        <w:t>539. Based on established case law, the Authority takes into account, in assessing the economic impact of the practice in question, the scale of the infringement, particularly characterized by its geographical coverage or by the market share of the sanctioned company in the relevant market, its duration, its conjunctural or structural consequences, as well as the economic characteristics of the sector concerned. Both actual and potential effects of the practice may be considered in this regard (see, in this sense, Court of Cassation judgment of June 28, 2005, Novartis Pharma, no. 04-13910).</w:t>
      </w:r>
    </w:p>
    <w:p>
      <w:r>
        <w:t>540. Before examining the scale of the infringement, the characteristics of the relevant sector, and the consequences of the practice, it is necessary to first address the parties' arguments regarding the assessment of damage to the economy.</w:t>
      </w:r>
    </w:p>
    <w:p>
      <w:r>
        <w:t>Arguments of the parties</w:t>
      </w:r>
    </w:p>
    <w:p>
      <w:r>
        <w:t>541. Firstly, the applicants contest the comparison references used in the Authority's report to highlight an abnormally low penetration rate of generics of BHD. According to them, the penetration rate of the generic Subutex® would be nothing atypical and would be within the average of class N, while comparisons with average substitution rates in France and Europe would be unfounded, on the grounds of a high dispersion of results.</w:t>
      </w:r>
    </w:p>
    <w:p>
      <w:r>
        <w:t>542. Secondly, the parties argue that the evolution of the market share of generics of Subutex® can also be explained by factors other than the practices in question. They particularly invoke the natural attachment of patients to Subutex®, the small size and limited capabilities of Arrow, as well as its insufficient and inappropriate commercial policy. They also establish a link between the low number of generic manufacturers in the high-dose buprenorphine market between 2006 and 2010 and the penetration rate of generics.</w:t>
      </w:r>
    </w:p>
    <w:p>
      <w:r>
        <w:t>543. Thirdly, the parties believe that the damage to the economy resulting from the practices is very low. They estimate it at 110,000 euros concerning the granting of loyalty-based financial advantages to pharmacists. As for the practice of denigration, they claim that in the absence of identifying a significant increase in Arrow's market shares since April 2006, the damage to the economy resulting from this practice is not measurable and is therefore necessarily limited.</w:t>
      </w:r>
    </w:p>
    <w:p>
      <w:r>
        <w:t>Assessment in the case at hand</w:t>
      </w:r>
    </w:p>
    <w:p>
      <w:r>
        <w:t>♦ On the estimation of the penetration rate and the comparison with other molecules</w:t>
      </w:r>
    </w:p>
    <w:p>
      <w:r>
        <w:t>544. As a preliminary point, it should be noted that several studies commissioned by Schering-Plough before the entry of the generic and the implementation of abusive practices estimated the penetration rate of generics of BHD at a level much higher than what was actually observed.</w:t>
      </w:r>
    </w:p>
    <w:p>
      <w:r>
        <w:t>545. Thus, Smart Pharma, in its study of October 7, 2004, for Schering-Plough (see paragraphs 89 and following), reiterated in the version of March 10, 2005, considered three scenarios (references 4501 to 4519). The "baseline scenario" anticipated the entry of two to three generic manufacturers, including one major laboratory, leading to substitution rates of 48% after 12 months and 59% after 24 months across all dosages. The "pessimistic scenario" was based on the entry of at least three major producers simultaneously and involved penetration rates of 61% and 72% after 12 and 24 months. The "optimistic scenario," on the other hand, assumed the entry of a single medium-sized generic manufacturer and led to penetration rates of 27% after 12 months and 34% after 24 months.</w:t>
      </w:r>
    </w:p>
    <w:p>
      <w:r>
        <w:t>546. While Schering-Plough retrospectively considers these forecast studies to be of uncertain reliability on the grounds that "they are based on simple hypotheses" (reference 28385), it should be noted that Schering-Plough nonetheless adopted these forecasts in the development and implementation of its strategy. Thus, the anticipation made by Smart Pharma in December 2005 based on the benchmark of Prozac® is mentioned in the presentation to delegates made by Nicolas R... during the Cannes seminar in January 2006 (reference 8608). Furthermore, after the commission of practices, during the Madrid conference in September 2006, the CEO of Schering-Plough explained in his PowerPoint presentation that the obstacles to maintaining market shares had been identified following consultation with a specialist in generic strategy and cited Smart Pharma at that time (reference 15038). Moreover, he included in his own presentation (reference 15043) the graph related to the "benchmark" of Prozac®, as it appeared in the Smart Pharma study (reference 7900).</w:t>
      </w:r>
    </w:p>
    <w:p>
      <w:r>
        <w:t>On the comparison with the average substitution rate in France and Europe</w:t>
      </w:r>
    </w:p>
    <w:p>
      <w:r>
        <w:t>547. The applicants argue that the comparison made by the Authority with the average penetration rates of generics in various European countries would not be relevant on the grounds that these penetration rates exhibit significant dispersion among them.</w:t>
      </w:r>
    </w:p>
    <w:p>
      <w:r>
        <w:t>548. The Authority compared, in the notification of grievances, the average substitution rates in France and Europe with that of Subutex®, based on observed data provided by the Member States and presented in the European Commission report concluding the sector inquiry in the pharmaceutical sector. These data pertain to a sample of 219 molecules marketed across all EU countries during the period 2000/2007. In this regard, it should be noted that while the observed substitution rates indeed reflect a certain diversity of situations among countries, France is situated rather at the high end of the sample.</w:t>
      </w:r>
    </w:p>
    <w:p>
      <w:r>
        <w:t>549. Moreover, the comparison with the generic Subutex® reveals a significant gap: the substitution rates of Subutex® in France are 16% after one year and 28.4% after two years, whereas the average observed rates in Europe across the entire sample are 30% and 45%, and those observed in France are 32% and 48%, for the same periods.</w:t>
      </w:r>
    </w:p>
    <w:p>
      <w:r>
        <w:t>550. Thus, contrary to what the applicants claim, the Authority's analysis, which is based on real data, provides useful insight into the penetration rate of the generic Subutex®.</w:t>
      </w:r>
    </w:p>
    <w:p>
      <w:r>
        <w:t>On the comparison with the generification rate of Prozac® and Deroxat®</w:t>
      </w:r>
    </w:p>
    <w:p>
      <w:r>
        <w:t>551. The applicants argue that the comparisons of the market shares of generics of Subutex® with those obtained by the generics of certain molecules of the same therapeutic class are not justified.</w:t>
      </w:r>
    </w:p>
    <w:p>
      <w:r>
        <w:t>552. The Authority compared the penetration rate of the generic Subutex® with that observed for another generic drug, Deroxat (in the notification of grievances, reference 19640). It also considers that the comparison with Prozac, made by the parties, is justified.</w:t>
      </w:r>
    </w:p>
    <w:p>
      <w:r>
        <w:t>553. As a preliminary point, it should be noted that the very principle of comparing penetration rates between different generics has been validated by the Paris Court of Appeal, in the judgment of February 5, 2008, rendered on appeal from the decision of precautionary measures of the Competition Council: "the Council's assessment that this implantation remains abnormally low since, at that date, the total market shares of the two 'generic manufacturers' do not reach 13% when commonly accepted studies in this area, even for drugs intended for a particularly sensitive audience, demonstrate that a minimum of 50% can be expected as early as the second year of commercialization of generics" (p. 7).</w:t>
      </w:r>
    </w:p>
    <w:p>
      <w:r>
        <w:t>554. Regarding the comparison with Deroxat®, this drug belongs to the same therapeutic class (referred to as "class N") as Subutex® and is considered a "sensitive product," rather difficult to substitute, as stated in decision no. 07-MC-06 of December 11, 2007, relating to a request for precautionary measures submitted by Arrow (paragraph 155).</w:t>
      </w:r>
    </w:p>
    <w:p>
      <w:r>
        <w:t>555. Regarding the comparison with Prozac®, the study commissioned by Schering-Plough from Smart Pharma considers the generification rate of this drug to be a "benchmark" (reference 7900). The comparison with Prozac® was deemed sufficiently credible by Schering-Plough to be integrated into its own analyses, both prior to and following the commission of practices (references 8608 and 15043).</w:t>
      </w:r>
    </w:p>
    <w:p>
      <w:r>
        <w:t>On the comparison between dosages of the generic Subutex®</w:t>
      </w:r>
    </w:p>
    <w:p>
      <w:r>
        <w:t>556. Schering-Plough, MSD, and Merck &amp; Co. contest the relevance of comparing the penetration rates of the generic Subutex® according to its different dosages with the rate achieved by the sole dosage of 0.4 mg. They believe that the sensitivity and attachment of patients to the original product would be stronger for the higher dosages, thus implying differentiated penetration rates according to dosages.</w:t>
      </w:r>
    </w:p>
    <w:p>
      <w:r>
        <w:t>557. However, the comparison of the penetration rates of the generic Subutex® according to the different dosages is fully justified, and this for at least four reasons.</w:t>
      </w:r>
    </w:p>
    <w:p>
      <w:r>
        <w:rPr>
          <w:b/>
        </w:rPr>
        <w:t>[Pages 100–102]</w:t>
      </w:r>
    </w:p>
    <w:p>
      <w:r>
        <w:t>558. First, no factual element is provided to justify that, completely independently of practices, the 2 mg and 8 mg dosages should have a lower penetration rate for generics than that of the 0.4 mg dosage.</w:t>
      </w:r>
    </w:p>
    <w:p>
      <w:r>
        <w:t>559. Second, the strong correlation of the generification dynamics of the different dosages of buprenorphine (see CRA study, figure 3, reference 28 883) suggests significant common determinants justifying that their penetration rates can be compared.</w:t>
      </w:r>
    </w:p>
    <w:p>
      <w:r>
        <w:t>560. Third, none of the studies conducted by Schering-Plough or on its behalf, aimed at estimating the penetration rate of generics before their entry, distinguished between the different dosages, indicating that there should not have been, from the perspective of Schering-Plough or its analysts, any significant objective difference between the penetration rates of generics according to the dosages.</w:t>
      </w:r>
    </w:p>
    <w:p>
      <w:r>
        <w:t>561. Lastly, the 0.4 mg dosage serves as a conservative benchmark because it cannot be excluded that it was also affected by disparaging practices.</w:t>
      </w:r>
    </w:p>
    <w:p>
      <w:r>
        <w:t>On the comparisons made by Schering-Plough</w:t>
      </w:r>
    </w:p>
    <w:p>
      <w:r>
        <w:t>562. While arguing the lack of relevance of substitution rate comparisons between molecules, the economic study provided by Schering-Plough nonetheless proposes to compare the substitution rate of Subutex® with that of sixteen molecules from the N class that were genericized at the same time, in order to demonstrate that the substitution rate of Subutex® is not abnormally low (reference 28884).</w:t>
      </w:r>
    </w:p>
    <w:p>
      <w:r>
        <w:t>563. This comparison raises two remarks. First, of the sixteen molecules selected, four of them (lamotrigine, gabapentin, topiramate, and oxcarbazepine) are antiepileptics, which are controversial regarding possible anxiety risks, while fentanyl is subject to proceedings before the Competition Authority for abuse of dominant position (decision no. 09-D-28 of July 31, 2009, regarding practices of Janssen-Cilag France in the pharmaceutical sector). Therefore, it would be appropriate to make the comparison based on 11 molecules rather than 16. Second, whether considering a sample of 16 or 11 molecules, the penetration rate of the generic BHD remains below the average and median, with the market share of the BHD standing at 28.5%, below the average market share of generics of 31% (reference 28885).</w:t>
      </w:r>
    </w:p>
    <w:p>
      <w:r>
        <w:t>564. The economic study provided by Schering-Plough also offers a dosage-by-dosage analysis of the penetration rate of the buprenorphine generic, compared to other generics in the N class to show that, for the 0.4 mg and 2 mg dosages, the penetration rate would not be abnormal (reference 28886).</w:t>
      </w:r>
    </w:p>
    <w:p>
      <w:r>
        <w:t>565. However, this analysis is contestable for at least two reasons. First, there is a very substantial difference between the 0.4 mg and 2 mg dosages, in terms of penetration rates of generics, and especially in terms of market volume and value. The substitution rate for the 2 mg dosage is thus intermediate between those of the 0.4 mg and 8 mg dosages, but its volumes are much closer to those of the 8 mg than to those of the 0.4 mg. It therefore seems more reasonable to consider, on the one hand, the 2 mg and 8 mg dosages and, on the other hand, the 0.4 mg dosage. Second, only buprenorphine at the 0.4 mg dosage has experienced a penetration rate of generics comparable to the expectations of Schering-Plough discussed previously. Thus, at 12, 24, and 36 months, the generic buprenorphine at 0.4 mg held a market share of 21%, 45%, and between 46 and 50%, respectively, which is consistent, albeit lower, than Schering-Plough's expectations for all dosages. However, this 0.4 mg dosage represents, in volume and value, the lowest sales of Subutex®.</w:t>
      </w:r>
    </w:p>
    <w:p>
      <w:r>
        <w:t>On the supposed attachment of patients to Subutex®</w:t>
      </w:r>
    </w:p>
    <w:p>
      <w:r>
        <w:t>566. According to Schering-Plough, the "factor no. 1" that could explain the low penetration of the generic buprenorphine would be "the attachment of patients to Subutex" (reference 28395). In particular, according to Schering-Plough, "three observational studies conducted after the entry of the Arrow generic into the BHD market show the existence of a preference among patients for Subutex, and therefore a reluctance of patients to accept a change in treatment" (reference 28398). Without ruling out a priori the existence of a possible reluctance of some patients to substitution, the Authority believes that this phenomenon is largely insufficient to explain the low market share observed for Subutex® generics, and this for at least seven reasons.</w:t>
      </w:r>
    </w:p>
    <w:p>
      <w:r>
        <w:t>567. First, it appears paradoxical for Schering-Plough to implement practices of loyalty towards pharmacists and disparagement of the generic, practices that are costly and legally risky, if patients are naturally attached to Subutex®. Assuming it is independent of practices, the particular attachment of some patients to Subutex® is not contradictory with a practice of disparagement that has amplified it or may have been one of its causes.</w:t>
      </w:r>
    </w:p>
    <w:p>
      <w:r>
        <w:t>568. Second, assuming that some patients are attached to Subutex®, Schering-Plough itself indicates that "there is no scientific study to explain patients' preference for Subutex" (reference 28400).</w:t>
      </w:r>
    </w:p>
    <w:p>
      <w:r>
        <w:t>569. Third, the studies conducted prior to the practices commission, studies commissioned by Schering-Plough and on which it relied to develop its strategy, anticipated a strong substitution in favor of the generic. In this regard, the Smart Pharma study (reference 5922), conducted in September 2004 based on interviews with doctors, pharmacists, and patients, and summarized by Schering-Plough in a table that was seized at its premises (references 5978 and 6085) indicated that a majority of patients (56%) could accept to "switch" to generics and did not show a particular attachment to the brand.</w:t>
      </w:r>
    </w:p>
    <w:p>
      <w:r>
        <w:t>570. Fourth, Schering-Plough itself identified the absence of patient attachment to Subutex® as one of the main barriers to overcome in its strategy against the generic and the maintenance of its market shares. This is notably indicated in the document presented at the Madrid conference in September 2006 where it uses the expression "main barriers" (reference 15039).</w:t>
      </w:r>
    </w:p>
    <w:p>
      <w:r>
        <w:t>571. Fifth, regarding the observational studies conducted after the practices and mobilized by Schering-Plough (references 28691 and following), as noted in decision 13-D-11 of May 14, 2013, the production of elements after the commission of facts is not a priori relevant to justify prior practices of abuse of dominant position. Incidentally, these "observational studies" do not support the arguments developed by Schering-Plough. Indeed, according to the Kantar Health study of 2009, pharmacies that offered the substitution of Subutex® for the generic assess patient refusals at a rate of 4.7 out of 10, or less than 50% (reference 28718). Similarly, the study conducted by the Alpes-Maritimes Addiction Network in the first quarter of 2008 shows that out of 110 patients, "96 tried the generic BHD." Even if 69 patients refused to continue treatment, notably citing a "perceived lesser effect than the original," for nearly half of them, it remains that from the initial sample, just under 40% of patients continued treatment with the generic (reference 28778). A third study conducted in a prison setting in Marseille in 2008 shows that "49% of patients are dissatisfied or very dissatisfied with the switch from Subutex to the generic" (reference 28792). Conversely, this means that 51% of them are indifferent or satisfied.</w:t>
      </w:r>
    </w:p>
    <w:p>
      <w:r>
        <w:t>572. It follows that the observational studies conducted after the entry of generics, produced by the companies Schering-Plough, Financière Financière MSD, and Merck &amp; Co., actually confirm the earlier studies that estimated a possible resistance to change not exceeding half of the patients. Consequently, the penetration rate of Subutex® generics, which peaks at 30% market share two years after the launch of the generic, cannot be explained by the majority resistance to change among patients since 50% of them were a priori willing to resort to the generic. Thus, it can be considered that a portion of them, corresponding to at least 20% of patients, may have been dissuaded from switching to the generic due to the practice of disparagement.</w:t>
      </w:r>
    </w:p>
    <w:p>
      <w:r>
        <w:t>573. Sixth, Schering-Plough highlights the lack of success of Suboxone® to prove - conversely - the attachment of patients to Subutex®. It emphasizes the very low penetration rate of Suboxone® despite significant commercial promotion efforts by Reckitt Benckiser and concludes that patients are therefore very attached to Subutex®. However, it should be noted that Suboxone® differs significantly from Subutex®, due to a different composition (buprenorphine and naloxone), which does not produce the same effects as the BHD and may even cause withdrawal symptoms if injected. Furthermore, the maintenance of Subutex® alongside Suboxone®, to which Schering-Plough had committed (which the Competition Council acknowledged during the decision on precautionary measures 07-MC-06), could explain, at least in part, the relative failure of Suboxone®.</w:t>
      </w:r>
    </w:p>
    <w:p>
      <w:r>
        <w:t>574. Lastly, Schering-Plough invokes the risk of misuse and trafficking, which would primarily target the 8 mg tablets, to justify the strong attachment of patients to Subutex® for this dosage. However, Dr. Michel W..., president of the National Commission on Narcotics and Psychotropics of AFSSAPS, indicated during his hearing on January 25, 2012 (references 17121 to 17127) that the risk of misuse concerned only a tiny portion of patients, estimated at 1% for the Arrow generic, compared to 9% for Subutex® (reference 17123). Moreover, Schering-Plough's argument is contradicted by the report of the National Commission on Narcotics and Psychotropics of April 28, 2005, which specified: "The excipient composition of Buprenorphine Ethypharm 8 mg may raise concerns about a greater risk of injection of this form. Its lower excipient content compared to other dosages of Buprenorphine Ethypharm (...) and to Subutex 8 mg (...) could indeed reduce complications related to injection" (references 5137-5139). Thus, according to this report, this difference between the generic and the original was likely to increase the risk of misuse to the benefit of the generic and, consequently, the penetration rate of the 8 mg generic dosage.</w:t>
      </w:r>
    </w:p>
    <w:p>
      <w:r>
        <w:t>On the low number of generic manufacturers</w:t>
      </w:r>
    </w:p>
    <w:p>
      <w:r>
        <w:t>575. Schering-Plough invokes the low number of generic manufacturers present in the BHD market to justify the low market share obtained by the Subutex® generic. This argument cannot prosper.</w:t>
      </w:r>
    </w:p>
    <w:p>
      <w:r>
        <w:t>576. Indeed, the "optimistic" scenario of the Smart Pharma study, commissioned by Schering-Plough in October 2004 and updated in March 2005, anticipated the entry of only one medium-sized generic manufacturer and estimated in this case that the penetration rate would reach 27% after one year, whereas the observed market shares for the BHD...</w:t>
      </w:r>
    </w:p>
    <w:p>
      <w:r>
        <w:rPr>
          <w:b/>
        </w:rPr>
        <w:t>[Pages 103–105]</w:t>
      </w:r>
    </w:p>
    <w:p>
      <w:r>
        <w:t>577. Furthermore, it is not excluded that the practices of the Schering-Plough laboratory may have had the effect of subsequently discouraging the entry of other generics into the French market for BHD.</w:t>
      </w:r>
    </w:p>
    <w:p>
      <w:r>
        <w:t>♦ On the size and commercial policy of Arrow</w:t>
      </w:r>
    </w:p>
    <w:p>
      <w:r>
        <w:t>578. According to the economic study provided by Schering-Plough, Arrow's low market share would also result from its small size, insufficient investments, and promotional efforts made by it, particularly towards doctors and pharmacists, as well as the absence of direct sales.</w:t>
      </w:r>
    </w:p>
    <w:p>
      <w:r>
        <w:t>579. Regarding size, it should be noted that the size of a laboratory producing generics and its market shares are not mechanically correlated: for example, Arrow held a 30% market share in France for terbutaline in 2007, even though it was the only generic manufacturer present in the market (reference 19930).</w:t>
      </w:r>
    </w:p>
    <w:p>
      <w:r>
        <w:t>580. As for the alleged insufficiency of investments and promotional efforts, it appears that Arrow made significant commercial investments, nearly one million euros in 2006 and nearly 500,000 euros from 2007 to 2009 (references 27057 and following). Arrow also launched, upon the market entry of the buprenorphine generic, a Risk Management Plan related to the marketing of BHD that was costly and large-scale. These investments were exceptionally high compared to its usual expenditures, as they represented almost two-thirds of its total promotional budget in 2006. This amount is 419 times higher than the average promotional expenditure budget for the 17 other generics it launched in 2006. Furthermore, generic manufacturers generally do not visit doctors and focus their commercial efforts on pharmacists, who are the keystones of substitution, as explained in the 2012 report by the Mutualité Française (references 21299 and following). According to the Eurostaf study of 2006 cited by the economic study provided by Schering-Plough, Arrow targeted pharmacies based on the volume of generics they marketed.</w:t>
      </w:r>
    </w:p>
    <w:p>
      <w:r>
        <w:t>581. Regarding direct sales, Arrow did not resort to them at the launch of its generic, notably because its risk management plan provided, for distribution safety reasons, for sales only through wholesalers-distributors, and it only modified its sales policy starting July 1, 2006, after agreement from AFSSAPS.</w:t>
      </w:r>
    </w:p>
    <w:p>
      <w:r>
        <w:t>582. According to the economic study provided by Schering-Plough, the comparison of Arrow's market shares with those obtained by the Mylan laboratory, which entered the generic market in April 2007 and reached an 18% market share after one year, supports the thesis of insufficient efforts made by Arrow at the launch of its generic.</w:t>
      </w:r>
    </w:p>
    <w:p>
      <w:r>
        <w:t>583. While it cannot be excluded that the size and promotional efforts of Mylan may have played a role in its market share acquisition, these factors alone cannot explain the weak establishment of the generic, compared to the forecasts made by Schering-Plough, particularly based on the studies commissioned from Smart Pharma.</w:t>
      </w:r>
    </w:p>
    <w:p>
      <w:r>
        <w:t>584. Indeed, while the overall market share of generics increases after Mylan's entry to reach about 30% (figure 3), it must be noted that it remains significantly lower than the estimates made by Smart Pharma. The "baseline scenario" retained by Smart Pharma anticipated, after the entry of a single generic manufacturer (like Arrow), the entry of two to three other generic manufacturers, including one major laboratory, leading to substitution rates of 48% after 12 months and 59% after 24 months across all dosages. Similarly, by using the comparison with Prozac®, Smart Pharma anticipated a penetration rate of 35% at the end of the first year (with Arrow alone), and 49% at the end of the second year, following the entry of other generics.</w:t>
      </w:r>
    </w:p>
    <w:p>
      <w:r>
        <w:t>♦ On the extent of practices and the estimation of damage by Schering-Plough</w:t>
      </w:r>
    </w:p>
    <w:p>
      <w:r>
        <w:t>585. Schering-Plough, Financière MSD, and Merck and Co. argue that the effects of overstocking are limited but quantifiable, but that it is impossible to quantitatively assess the damage resulting from disparagement.</w:t>
      </w:r>
    </w:p>
    <w:p>
      <w:r>
        <w:t>On the effects of overstocking on shelves</w:t>
      </w:r>
    </w:p>
    <w:p>
      <w:r>
        <w:t>586. Regarding the effects of overstocking on shelves resulting notably from the practice of discounts, the quantification method proposed by the CRA firm is based on the assumption that they can be measured by analyzing the evolution of Arrow's market share once the practice has ceased, as it could not have had effects beyond this period. The economic study provided by Schering-Plough concludes that the damage to the economy related to the disputed commercial practices would amount to 110,000 euros.</w:t>
      </w:r>
    </w:p>
    <w:p>
      <w:r>
        <w:t>587. This quantification method raises three remarks. First, it should be noted that the figures used by the economic study provided by Schering-Plough do not exactly match those of Depolabo, which was responsible for direct sales. Indeed, according to the economic study provided by Schering-Plough, "the number of boxes of Subutex sold under direct sales with alleged financial advantages is 929,404 boxes," while a seized document from Depolabo mentions the figure of 1,738,645 boxes sold. Next, Arrow's promotional expenditures were primarily concentrated in the initial months of the generic's commercialization. However, the practice of overstocking took place just before and during the launch of the generic, which nullified the impact of Arrow's promotional expenditures. Finally, the effect of overstocking on shelves is underestimated as this practice was combined with another practice, that of disparagement, whose impact on the penetration rate of the generic has been lasting and extended beyond the mere period of additional discounts.</w:t>
      </w:r>
    </w:p>
    <w:p>
      <w:r>
        <w:t>On the long-term stability of the generic's market share</w:t>
      </w:r>
    </w:p>
    <w:p>
      <w:r>
        <w:t>588. Schering-Plough estimates that "during the five years following the issuance of the conservatory measures, the share of generics has been almost stable at a level varying according to the dosage (...) suggesting that the market share achieved over the last five years is the ceiling market share for the generic BHD. Moreover, the difference in penetration according to dosages is a persistent and stable element over time. It cannot be seriously argued that the Practices, which lasted only a few months, could have had an effect on the distribution of sales between Subutex and its generics that would persist today, more than seven years after the facts. Such stability of market shares since the issuance of the conservatory measures leads to the conclusion that the effect of the Practices must have ended before the issuance of the conservatory measures."</w:t>
      </w:r>
    </w:p>
    <w:p>
      <w:r>
        <w:t>589. The argument put forward by Schering-Plough calls for two observations.</w:t>
      </w:r>
    </w:p>
    <w:p>
      <w:r>
        <w:t>590. First, the absence of a "shock" following the publication of the decision on conservatory measures by the Competition Council in December 2007 and the press release published in February 2008 in the professional press can be interpreted as an indication of the power of disparagement of generics and the effects it has caused on the market. Moreover, the publication of a press release, devoid of medical significance, could only have a limited impact on the behavior of healthcare professionals or on the patients concerned.</w:t>
      </w:r>
    </w:p>
    <w:p>
      <w:r>
        <w:t>591. Secondly, if the market shares of the generic buprenorphine reach a "ceiling" from the 24th month, except for the 0.4 mg dosage which progresses until 2010, this "ceiling" cannot be considered "natural," as alleged by Schering-Plough (reference 28374). The practices, which began before the entry of generics, artificially and durably limited the market shares of buprenorphine.</w:t>
      </w:r>
    </w:p>
    <w:p>
      <w:r>
        <w:t>592. Indeed, the practices of disparagement create a climate of distrust towards generics that is particularly difficult to dispel when they originate from the laboratory that exclusively distributed the molecule for about ten years, which the generics are disparaging. Schering-Plough thus benefits from a particular aura among healthcare professionals and patients, a temporal advantage over generics, and better access to prescribers. In this regard, it should be noted that Schering-Plough presents itself as a laboratory that has developed privileged relationships with health actors or patient associations in the field of addiction.</w:t>
      </w:r>
    </w:p>
    <w:p>
      <w:r>
        <w:t>593. From the patients' side, the climate of distrust established by disparagement is all the more difficult to dissipate as patients treated with BHD are, according to Schering-Plough's own words, "psychologically fragile" (reference 7945) "often in situations of human and social distress" (reference 1607). These characteristics make patients particularly exposed and receptive to disparaging discourse (see IFAS project, reference 4000). It should be noted in this regard that the population of patients treated with BHD presents...</w:t>
      </w:r>
    </w:p>
    <w:p>
      <w:r>
        <w:rPr>
          <w:b/>
        </w:rPr>
        <w:t>[Pages 106–108]</w:t>
      </w:r>
    </w:p>
    <w:p>
      <w:r>
        <w:t>a low renewal rate, so that a large portion of the patients currently treated with BHD have been exposed to disparagement at the time when the practices took place. Schering-Plough reports the words of Dr. C..., head of the Adult Psychiatry and Addiction Medicine Department of the Saint-Louis-Lariboisière-Fernand Widal University Hospital Group, who stated that "the management of a drug-addicted patient spans several years, so that even today, a significant percentage of patients began their treatment with Subutex®" (reference 28402).</w:t>
      </w:r>
    </w:p>
    <w:p>
      <w:r>
        <w:t>594. For their part, healthcare professionals, faced with these vulnerable patients, have been all the more sensitive to disparaging discourse as their patients may pose a physical danger for their own safety, an argument that Schering-Plough's sales forces did not fail to emphasize in the implementation of the disparagement (references 4782 and 20232).</w:t>
      </w:r>
    </w:p>
    <w:p>
      <w:r>
        <w:t>595. Therefore, given, on the one hand, the durability of the effects of disparaging practices in general and, on the other hand, the particular nature of the patients treated with BHD as well as the low renewal rate of this population, it appears that the practices have had the effect of permanently capping the market penetration rate of the generic BHD.</w:t>
      </w:r>
    </w:p>
    <w:p>
      <w:r>
        <w:t>On the alleged impossibility of quantifying the damage resulting from disparagement</w:t>
      </w:r>
    </w:p>
    <w:p>
      <w:r>
        <w:t>596. The economic study produced by Schering-Plough estimates that "the evolution of Arrow's market share or that of generics in the longer term (...) reveals nothing that allows for the identification and quantification of significant economic damage caused by the alleged disparagement."</w:t>
      </w:r>
    </w:p>
    <w:p>
      <w:r>
        <w:t>597. The argument that the damage resulting from disparagement would be so limited that it cannot be quantified stands in stark contrast to several statements from Schering-Plough employees and material elements that highlight, conversely, the strong success and impact of the practices on the ground.</w:t>
      </w:r>
    </w:p>
    <w:p>
      <w:r>
        <w:t>598. Thus, the remarks reported by Mr. Gilles M... regarding the effectiveness of Ms. Valérie 1..., a medical delegate, with a pharmacist are emblematic: "The first pharmacist had planned to substitute (she must substitute at 68%) despite a first order to Depolabo two months earlier (120 boxes). Valérie convinces her not to do so, skillfully raising doubts about problems with the generic: 1) the excipients are not the same (talc + silica) 2) no one knows what would happen in case of injection 3) in fact, in Béziers, the first problems with generics appeared 4) plastery taste 5) the financial gain for the pharmacist is only 83 cents for an 8 mg tablet, which means a lot of work, a lot of trouble for not much 6) ultimately, not substituting Subutex will not prevent her from reaching the target of 68% due to the small volumes... in the end, the pharmacist places a new order with Depolabo (Valérie gives her the call center number for Depolabo and calls Jean to ensure that it will be done)" (reference 5147).</w:t>
      </w:r>
    </w:p>
    <w:p>
      <w:r>
        <w:t>599. Similarly, an email dated May 24, 2006, from Mr. Éric 2..., regional manager at Schering-Plough, which also presents the effects of the discourse of pharmaceutical delegates and medical visitors, is unequivocal: "The ST (addiction specialists NDLR) do an excellent job with pharmacists and doctors, and I am convinced that their actions have significantly slowed the implementation of the generic. Every day in the field I see pharmacists who tell me that if the ST had not been present, they would have immediately ordered the generic (the same for doctors' prescriptions). (...) I consider, given the penetration rate of the generic, that they are performing exceptionally and that we must maintain their motivation" (reference 15365).</w:t>
      </w:r>
    </w:p>
    <w:p>
      <w:r>
        <w:t>600. The email dated May 5, 2006, from Mr. Gilles M..., CEO of Schering-Plough, also contains a comment from Mr. Nicolas R..., commercial director "addiction" at Schering-Plough, who is particularly enthusiastic about the performances achieved on the ground: "Excellent argumentation. For your information, Valérie is currently the number 1 in France vs. generic penetration. (only 2% [market share of the generic NDLR] in a cumulative 4 weeks), which is not a coincidence!" (reference 5147).</w:t>
      </w:r>
    </w:p>
    <w:p>
      <w:r>
        <w:t>601. Lastly, the document titled "French subutex experience" presented by the CEO of Schering-Plough in Madrid in September 2006 - that is, after the commission of the practices - establishes an explicit link between the practices implemented and the observed effects on the market (references 15037 to 15043). This document presents the strategy developed in France through its main actions and results, indicating in particular that Subutex® maintained a turnover of 62.9 million euros, which is 34% more than expected (reference 15041).</w:t>
      </w:r>
    </w:p>
    <w:p>
      <w:r>
        <w:t>Assessment by the Authority of the damage to the economy</w:t>
      </w:r>
    </w:p>
    <w:p>
      <w:r>
        <w:t>602. In this case, it is necessary to first examine the extent of the infringement, then the characteristics of the relevant sector, and finally the consequences of the practice.</w:t>
      </w:r>
    </w:p>
    <w:p>
      <w:r>
        <w:t>♦ On the extent of the practices</w:t>
      </w:r>
    </w:p>
    <w:p>
      <w:r>
        <w:t>603. The BHD market is significant both in volume and value.</w:t>
      </w:r>
    </w:p>
    <w:p>
      <w:r>
        <w:t>604. According to data from health insurance extracted from its public and comprehensive website, during the period 2004-2011, the number of boxes of 0.4 mg, 2 mg, and 8 mg sold averaged 9.2 million per year, growing until 2008 and then remaining relatively stable. The respective volumes of these dosages, relatively constant over time, are approximately 1.3 million boxes, 4.6 million boxes, and 3.3 million boxes per year.</w:t>
      </w:r>
    </w:p>
    <w:p>
      <w:r>
        <w:t>605. At the time of the observed facts, the price of the generic Subutex® was set by the CEPS at 20% less than the ex-tax price of the reference product. In absolute terms, the price differences are therefore all the more significant as the starting price is high. Depending on the periods considered, generics allow for savings ranging from €0.23 to €0.60 per box of 0.4 mg, from €0.64 to €1.63 per box of 2 mg, and from €2.1 to €4.95 per box of 8 mg.</w:t>
      </w:r>
    </w:p>
    <w:p>
      <w:r>
        <w:t>606. The average reimbursement base for BHD, for these dosages and over the same period, was over 100 million euros per year. This is the calculation base for the amount of health expense reimbursements, that is to say, the market value of BHD in pharmacies at the public price including tax.</w:t>
      </w:r>
    </w:p>
    <w:p>
      <w:r>
        <w:t>607. The BHD market constitutes a significant expense item for health insurance, which reimburses an average of 77 million euros per year for this molecule. Between 2006 and 2011, generics represented only 16% of the amounts reimbursed (75 out of 457 million euros reimbursed during this period).</w:t>
      </w:r>
    </w:p>
    <w:p>
      <w:r>
        <w:t>608. In this regard, the Paris Court of Appeal specified in its judgment of February 5, 2008, cited above: "thus, the Council (...), characterized the immediate harm to the economy of the affected sector resulting from the identified practices, and then, by evaluating the amount of the economy from which social security was deprived due to this low implementation of the generic at 10 million euros, highlighted the seriousness of the harm in question, justifying the imposition of precautionary measures" (p. 10).</w:t>
      </w:r>
    </w:p>
    <w:p>
      <w:r>
        <w:t>609. Furthermore, the practice was implemented by an operator who held, at the time of the facts, a monopoly, then a very significant position in the BHD market.</w:t>
      </w:r>
    </w:p>
    <w:p>
      <w:r>
        <w:t>610. Finally, the practices took place across the entire national territory, thanks to a large network of medical visitors and pharmaceutical delegates.</w:t>
      </w:r>
    </w:p>
    <w:p>
      <w:r>
        <w:t>♦ On the economic characteristics of the sector</w:t>
      </w:r>
    </w:p>
    <w:p>
      <w:r>
        <w:t>611. In order to assess the extent of the damage caused to the economy, the Authority focuses on the characteristics of the relevant sector, as these are likely to influence the effects of the practice. In this case, two characteristics of the pharmaceutical sector are likely to have increased the damage caused to the economy by the practices implemented by Schering-Plough.</w:t>
      </w:r>
    </w:p>
    <w:p>
      <w:r>
        <w:t>612. First, the pharmaceutical sector is subject to strong regulation, particularly regarding retail prices. As a result, price competition in the city market is virtually non-existent, and the incentives for actors to increase sales volumes are maximized. Competition between operators is thus strongly linked to the promotional actions implemented by pharmaceutical laboratories with healthcare professionals, as noted by the European Commission in its inquiry report on the pharmaceutical sector published on July 8, 2009.</w:t>
      </w:r>
    </w:p>
    <w:p>
      <w:r>
        <w:t>613. Secondly, as indicated repeatedly above, the practices in question have largely taken advantage of the influence of medical visitors on the prescribing behavior of healthcare professionals. Indeed, there is a climate of suspicion towards generics in France, reinforced in the case of high-dose BHD by particular concerns regarding the specific nature of this opioid substitute medication.</w:t>
      </w:r>
    </w:p>
    <w:p>
      <w:r>
        <w:t>♦ On the conjunctural and structural consequences of the practices</w:t>
      </w:r>
    </w:p>
    <w:p>
      <w:r>
        <w:t>614. In addition to the statements and material elements already cited, an assessment based on three counterfactuals provides converging evidence that allows us to conclude that the generic buprenorphine would have achieved, in the absence of the practices, market shares significantly higher than those observed.</w:t>
      </w:r>
    </w:p>
    <w:p>
      <w:r>
        <w:t>Comparison with the 0.4 mg dosage</w:t>
      </w:r>
    </w:p>
    <w:p>
      <w:r>
        <w:t>615. Taking the 0.4 mg dosage as a counterfactual allows for an assessment of what the market shares of generic buprenorphine across all dosages could have been in the absence of the practices, as these primarily targeted the 2 mg and 8 mg dosages, and thus provides a first assessment of the damage to the economy. Furthermore, this approach proves to be conservative, as it assumes zero damage on the 0.4 mg dosage since it serves as a reference. However, it cannot be excluded that, even if it was less targeted, its penetration rate may still have been affected by the practices.</w:t>
      </w:r>
    </w:p>
    <w:p>
      <w:r>
        <w:t>616. Figure 4 shows that the market shares of generic buprenorphine for the 0.4 mg dosage are the highest, while having a dynamic correlated with that of the other dosages. It can be observed that the gap between, on the one hand, the market share of generic buprenorphine 0.4 mg and, on the other hand, the average market shares of generic buprenorphine 2 mg and 8 mg increases over time. This gap is less than 10 basis points in 2007 and more than 25 basis points in 2011. On average, between 2007 and 2011, it stands at approximately 20 points.</w:t>
      </w:r>
    </w:p>
    <w:p>
      <w:r>
        <w:rPr>
          <w:b/>
        </w:rPr>
        <w:t>[Pages 109–111]</w:t>
      </w:r>
    </w:p>
    <w:p>
      <w:r>
        <w:t>617. Assuming that the market share of the generic BHD in its 2 mg and 8 mg dosages should have been similar to that observed for the 0.4 mg dosage, an assessment of the damage caused can be obtained by multiplying the number of boxes of 2 mg and 8 mg sold by the annualized price differential between Subutex® and its generics, and then again by the differential substitution rate with the 0.4 mg dosage. Thus, if the market share of generics had been identical for the 2 mg and 8 mg dosages to that observed for the 0.4 mg, the community would have saved more than 22 million euros between 2006 and 2011 (approximately 3.5 million euros for the 2 mg and more than 18.5 million euros for the 8 mg, which was the most targeted by the practices). Annually, the damage would be between 2 and 5 million euros over the period from 2006 to 2011. As noted by the Government Commissioner in his written observations of July 18, 2013, this estimate corroborates "the amount retained by the Paris Court of Appeal (judgment of February 5, 2008, no. 2007/21 342), in its decision regarding precautionary measures" (reference 28365).</w:t>
      </w:r>
    </w:p>
    <w:p>
      <w:r>
        <w:t>Comparison with Schering-Plough's own expectations</w:t>
      </w:r>
    </w:p>
    <w:p>
      <w:r>
        <w:t>618. A second approach consists of taking as a counterfactual the anticipated market shares of the generics (as they emerge from studies conducted on behalf of Schering-Plough before the entry of the generic) to compare them with the market shares actually observed (figure 5). More specifically, four reference scenarios have been retained, corresponding to models 1, 2, and 3 developed by the Smartpharma firm, as well as the comparison made by the same consulting firm with the substitution rate of the Prozac® generic.</w:t>
      </w:r>
    </w:p>
    <w:p>
      <w:r>
        <w:t>619. From reading figure 5, it appears that the penetration rate of the generic BHD was significantly lower than the various expectations considered by Schering-Plough before the commission of the practices, regardless of the model retained.</w:t>
      </w:r>
    </w:p>
    <w:p>
      <w:r>
        <w:t>620. The most recent expectation dates back to December 2005 and appears consistent with Smart Pharma's model 2 from March 2005. This latter expectation forecasts a substitution rate of 65% after 36 months, nearly double what has been observed in the facts and what still prevails today. Assuming that in the absence of the practices, the penetration of the generic BHD would have been 30 basis points higher than what was observed once its market share stabilized, that is, the average gap between the most recent estimates made before the entry of generics and the observations made subsequently, the loss of earnings for the community would be between 3 and 7 million euros per year.</w:t>
      </w:r>
    </w:p>
    <w:p>
      <w:r>
        <w:t>Comparison with molecules in class N with 11 molecules</w:t>
      </w:r>
    </w:p>
    <w:p>
      <w:r>
        <w:t>621. The penetration rate of generics of molecules in class N with 11 molecules also provides a counterfactual for the penetration rate that the generic BHD could have experienced in the absence of practices.</w:t>
      </w:r>
    </w:p>
    <w:p>
      <w:r>
        <w:t>622. As illustrated in figure 6, the generic BHD shows a market share that is half that of the average of the molecules in class N with 11 molecules, 12 months after the entry of the first generic. The differences are particularly pronounced for the 8 mg dosage, which is almost three times less substituted at 12 months than the other molecules in its therapeutic class.</w:t>
      </w:r>
    </w:p>
    <w:p>
      <w:r>
        <w:t>623. According to these comparisons, if the generic BHD had experienced the same substitution rates as the average of the molecules in class N with 11 molecules, the community would have benefited from a significantly higher average substitution rate. Indeed, starting from the 24th month, the 0.4 mg dosage exceeds the average penetration rate of generics in class N with 11 molecules, while the 2 mg dosage experiences a comparable substitution rate, the 8 mg dosage remains significantly less substituted, with a substitution rate half that of the average. Furthermore, prior to this 24th month, the penetration rates of the three marketed dosages of the generic BHD are lower than those of the average of generics of molecules in class N with 11 molecules.</w:t>
      </w:r>
    </w:p>
    <w:p>
      <w:r>
        <w:t>624. For the year 2008 alone, if the substitution rates of the generic BHD 0.4 mg, 2 mg, and 8 mg had been similar to the average rate of molecules in class N with 11 molecules, the savings achieved by the community would have been 2.9 million euros.</w:t>
      </w:r>
    </w:p>
    <w:p>
      <w:r>
        <w:t>625. If we consider 24 months after the entry of the Arrow laboratory, the community would have saved 5.8 million euros if the generic BHD had experienced substitution rates equal to the average rate of class N with 11 molecules.</w:t>
      </w:r>
    </w:p>
    <w:p>
      <w:r>
        <w:rPr>
          <w:b/>
        </w:rPr>
        <w:t>[Pages 112–114]</w:t>
      </w:r>
    </w:p>
    <w:p>
      <w:r>
        <w:t>Conclusion on the importance of the damage to the economy</w:t>
      </w:r>
    </w:p>
    <w:p>
      <w:r>
        <w:t>626. Ultimately, the three proposed counterfactuals converge to establish that the damage to the economy is real and significant.</w:t>
      </w:r>
    </w:p>
    <w:p>
      <w:r>
        <w:t>Conclusion on the determination of the base amount</w:t>
      </w:r>
    </w:p>
    <w:p>
      <w:r>
        <w:t>627. Given the assessment just made of the seriousness of the facts and the importance of the damage caused to the economy, and also taking into account the accumulation of abusive practices, the Authority will retain, for determining the base amount, a proportion of 14% of the value of sales made by Schering-Plough in the French market for the BHD marketed in the city in 2006.</w:t>
      </w:r>
    </w:p>
    <w:p>
      <w:r>
        <w:t>Regarding the duration of participation</w:t>
      </w:r>
    </w:p>
    <w:p>
      <w:r>
        <w:t>628. Schering-Plough implemented a strategy of denigration against Buprenorphine Arrow®, a competitor of Subutex®, based on communication actions carried out over three and a half months, from February 15, 2006, to the end of May 2006. Quantity discounts and payment terms and cash discounts were offered to pharmacists from January 2006 until the end of July 2006. However, as explained in the section dedicated to the value of sales, the duration retained, taking into account both the period of commission of the practices and the period of their effects, was estimated at one year.</w:t>
      </w:r>
    </w:p>
    <w:p>
      <w:r>
        <w:t>629. The resulting base amount is €12,806,640.</w:t>
      </w:r>
    </w:p>
    <w:p>
      <w:r>
        <w:t>c) Regarding the individual situation</w:t>
      </w:r>
    </w:p>
    <w:p>
      <w:r>
        <w:t>On the economic power of Schering-Plough and the group to which it belongs</w:t>
      </w:r>
    </w:p>
    <w:p>
      <w:r>
        <w:t>630. The Authority has committed to adjusting the base amount retained to reflect the seriousness of the facts and the importance of the damage caused to the economy in light of the legal criterion concerning the individual situation of the sanctioned company and, where applicable, the group to which it belongs.</w:t>
      </w:r>
    </w:p>
    <w:p>
      <w:r>
        <w:t>631. To this end, and based on the elements specific to each case, it may take into account various mitigating and/or aggravating circumstances characterizing the behavior of the company involved in the commission of the infringements, as well as other relevant objective elements relating to its individual situation. This consideration may lead to adjusting the amount of the sanction both downward and upward.</w:t>
      </w:r>
    </w:p>
    <w:p>
      <w:r>
        <w:t>632. The assessment of the individual situation may lead the Authority to consider the scale of the company in question or the group to which it belongs (see, in this sense, the judgment of the Court of Cassation of April 28, 2004, Colas Midi-Méditerranée et al., No. 02-15203).</w:t>
      </w:r>
    </w:p>
    <w:p>
      <w:r>
        <w:t>633. The fact that a company has, beyond the products or services directly related to the infringement, a significant scope of activities or possesses substantial financial power may justify that the sanction imposed on it, in relation to a given infringement, be higher than if this were not the case, in order to ensure both the deterrent and proportional nature of the financial sanction (judgment of the Paris Court of Appeal of October 11, 2012, H. Chevalier Nord Company, No. 2011/03298, p. 71). In this regard, the Court of Cassation has already had the opportunity to specify that the effectiveness of the fight against anti-competitive practices requires that the sanction be effectively deterrent, in light of the financial situation specific to each company at the time it is sanctioned (judgment of September 18, 2012, Sephora et al., No. 12-14401, 12-14584, 12-14595, 12-14597, 12-14598, 12-14624, 12-14625, and 12-14632 and 12-14648).</w:t>
      </w:r>
    </w:p>
    <w:p>
      <w:r>
        <w:t>634. It may also be appropriate to take into account the fact that this company belongs to a group that itself has significant size or overall resources (judgments of the Paris Court of Appeal of March 29, 2012, Lacroix Signalisation et al., cited above, p. 32, of October 11, 2012, cited above, p. 71, and of March 28, 2013, Allez et Cie et al., No. 2011/20 125, p. 34).</w:t>
      </w:r>
    </w:p>
    <w:p>
      <w:r>
        <w:t>635. In this case, Schering-Plough belongs to the Merck &amp; Co. group, within which it consolidates its accounts. The Merck &amp; Co. group, by its revenue, ranks third globally among pharmaceutical laboratories. This group has substantial financial resources and operates well beyond the single pharmaceutical product involved in this case. The revenue of Merck &amp; Co. amounted to $47.267 billion in 2012, or €35.03 billion in 2012, with an average monthly EUR/USD exchange rate at the end of November 2013 of 1.34929.</w:t>
      </w:r>
    </w:p>
    <w:p>
      <w:r>
        <w:t>636. Given these elements, the base amount of the financial sanction imposed on the Merck &amp; Co. group, jointly with Schering-Plough, must be increased by 50%.</w:t>
      </w:r>
    </w:p>
    <w:p>
      <w:r>
        <w:t>637. In light of all the preceding elements, the amount of the sanction to be imposed on Schering-Plough, jointly with its parent company Merck &amp; Co., amounts to €19,209,960.</w:t>
      </w:r>
    </w:p>
    <w:p>
      <w:r>
        <w:t>On the verification of the applicable maximum</w:t>
      </w:r>
    </w:p>
    <w:p>
      <w:r>
        <w:t>638. In accordance with Articles L. 464-2 - I paragraph 4 and L. 464-2 – III of the Commercial Code, the highest known consolidated worldwide revenue excluding taxes achieved by the Merck &amp; Co. group, which consolidates the revenue of Schering-Plough, was $48,047,000,000 in 2011, or €35,609,098,118 with an average monthly EUR/USD exchange rate at the end of November 2013 of 1.34929. The maximum amount of the sanction that can be imposed on Schering-Plough amounts to €1,780,454,905. This amount exceeds the amount mentioned in paragraph 637 above.</w:t>
      </w:r>
    </w:p>
    <w:p>
      <w:r>
        <w:t>d) Regarding the non-contestation of grievances</w:t>
      </w:r>
    </w:p>
    <w:p>
      <w:r>
        <w:t>639. III of Article L. 464-2 of the Commercial Code allows the general rapporteur to propose to the Authority to take into account, in the context of determining the sanction, the fact that a company or organization waives contesting the grievances that have been notified to it. The general rapporteur may also propose to take into account the fact that the interested party further commits to modifying its behavior for the future.</w:t>
      </w:r>
    </w:p>
    <w:p>
      <w:r>
        <w:t>640. In this case, the company MSD France has decided not to contest the grievances that have been notified to it. It has also submitted commitments. The deputy general rapporteur proposed, in light of these elements, that the maximum amount of the reduction of the potential financial sanction incurred be set at 20%.</w:t>
      </w:r>
    </w:p>
    <w:p>
      <w:r>
        <w:t>641. As the Authority has already noted several times, the waiver to contest the grievances, which primarily serves to lighten and accelerate the investigative work, particularly by exempting the investigation services from drafting a report when it is the case for all the companies involved, which was not the case here, can only lead to granting the interested parties a relatively limited reduction of the sanction. It is, where applicable, the nature and quality of the commitments presented that may allow for a more significant reduction of the sanction, provided they are substantial, credible, and verifiable (decisions No. 07-D-21 of the Council of June 26, 2007, regarding practices implemented in the linen rental-maintenance sector, paragraph 129, No. 08-D-13 of June 11, 2008, regarding practices identified in the routine maintenance of premises sector, paragraph 99, No. 09-D-05 of February 2, 2009, regarding practices implemented in the temporary work sector, paragraph 155, and No. 11-D-17 of December 8, 2011, regarding practices implemented in the laundry sector).</w:t>
      </w:r>
    </w:p>
    <w:p>
      <w:r>
        <w:t>642. When it accepts such commitments, the Authority makes them mandatory in the decision it adopts at the end of the procedure. It may naturally be led to ensure subsequently their effective implementation.</w:t>
      </w:r>
    </w:p>
    <w:p>
      <w:r>
        <w:t>643. In this case, the commitments made by MSD France are credible, substantial, and verifiable. In particular, the compliance program with competition law is accompanied by a commitment related to the establishment of a specific procedure applicable to the branded drugs marketed by MSD France that will soon enter the public domain. The companies Schering-Plough, Financière MSD, and Merck &amp; Co. have committed to systematically implementing, at least 24 months before a branded drug marketed by MSD France enters the public domain, a prior control by the competition law compliance committee of the commercial strategy that will be implemented by MSD France to promote its branded drug in relation to potential generic drugs, to organize specific training for sales personnel regarding the prohibition of denigrating the generic drugs of the branded product marketed by MSD France, and to include a section regarding compliance with this specific procedure in the report on compliance with the compliance program. This procedure presents a real interest for the competitive functioning of the sector in question: several drugs marketed by MSD France have active ingredients that are covered by intellectual property rights that will soon enter the public domain and are therefore likely to be genericized.</w:t>
      </w:r>
    </w:p>
    <w:p>
      <w:r>
        <w:t>644. To the extent that this commitment is, in this case, likely to allow Schering-Plough Financière MSD and Merck &amp; Co. to prevent future breaches of competition rules as well as, where applicable, to draw the consequences of any breaches discovered within it, the Authority considers it to be substantial, credible, and verifiable.</w:t>
      </w:r>
    </w:p>
    <w:p>
      <w:r>
        <w:t>645. Under these conditions, in order to take into account both the waiver to contest the grievances as such and the proposed commitments, which should be accepted and made mandatory, the sanctions imposed on Schering-Plough are reduced by 20%.</w:t>
      </w:r>
    </w:p>
    <w:p>
      <w:r>
        <w:t>646. The commitments in question, which are attached at the end of this decision, must naturally be subject to effective implementation.</w:t>
      </w:r>
    </w:p>
    <w:p>
      <w:r>
        <w:t>647. Thus, the final amount of the sanction amounts, for grievances No. 1 and 2, to €15,367,968, rounded to €15,367,000.</w:t>
      </w:r>
    </w:p>
    <w:p>
      <w:r>
        <w:rPr>
          <w:b/>
        </w:rPr>
        <w:t>[Pages 115–117]</w:t>
      </w:r>
    </w:p>
    <w:p>
      <w:r>
        <w:t>2. ON THE SANCTIONS IMPOSED FOR THE AGREEMENT (GRIEVANCE NO. 3)</w:t>
      </w:r>
    </w:p>
    <w:p>
      <w:r>
        <w:t>a) Regarding the value of sales</w:t>
      </w:r>
    </w:p>
    <w:p>
      <w:r>
        <w:t>Method adopted by the Authority</w:t>
      </w:r>
    </w:p>
    <w:p>
      <w:r>
        <w:t>648. The value of sales made in relation to the infringement committed may be usefully retained as the basis for the sanction.</w:t>
      </w:r>
    </w:p>
    <w:p>
      <w:r>
        <w:t>649. Certainly, the Commercial Code, by not referring to the turnover related to the sector or the market in question, but only to the consolidated or combined global turnover, does not require the Authority to proceed in this manner (judgment of the Court of Cassation of May 13, 1997, Société française de transports Gondrand frères, no. 95-16378). However, this parameter generally constitutes an appropriate and objective reference allowing for the proportionality of the sanction's basis to the economic reality of the infringement in question, and more specifically to its magnitude as well as the relative weight on the concerned sector of each of the companies that participated (see, in this sense, judgment of the Paris Court of Appeal of October 11, 2012, Entreprise H. Chevalier Nord e.a., no. 2011/03298, p. 72; see also, judgment Lacroix Signalisation e.a., cited above, pp. 37 and 38), as also evidenced by the consistent case law of the Union courts (judgments of the Court of Justice of June 7, 1983, Musique diffusion française/Commission, 100/80, Rec. p. 1825, points 119 to 121, of September 3, 2009, Papierfabrik August Koehler e.a./Commission, C-322/07 P, C-327/07 P and C-338/07 P, Rec. p. I-7191, point 114).</w:t>
      </w:r>
    </w:p>
    <w:p>
      <w:r>
        <w:t>650. The relevant market retained in this case is the French market for BHD (Subutex® and its generics) marketed in the city in France.</w:t>
      </w:r>
    </w:p>
    <w:p>
      <w:r>
        <w:t>651. However, regarding the sales made in relation to the infringement committed, Schering-Plough, as distributor, declared all sales in the city for this product, while Reckitt Benckiser, its supplier, declared no sales. This is why the Authority is led to apply paragraph 39 of its press release of May 16, 2011, concerning the method of determining monetary sanctions, which states: "The method described above may be adapted in particular cases where the Authority believes that reference to the value of sales or its modalities of consideration would lead to a result that does not appropriately reflect the economic magnitude of the infringement or the relative weight of each company or organization that participated."</w:t>
      </w:r>
    </w:p>
    <w:p>
      <w:r>
        <w:t>652. The value of sales retained will therefore take into account the distribution of the sales proceeds between Schering-Plough and Reckitt Benckiser, which received commissions on these sales as part of the agreement, according to the modalities specified below.</w:t>
      </w:r>
    </w:p>
    <w:p>
      <w:r>
        <w:t>Determination of the amount of the value of sales</w:t>
      </w:r>
    </w:p>
    <w:p>
      <w:r>
        <w:t>653. Since the collusive practice took place between October 5, 2005, and at least December 9, 2005, the reference year retained for the value of sales is the year 2005.</w:t>
      </w:r>
    </w:p>
    <w:p>
      <w:r>
        <w:t>654. The agreement between Schering-Plough, distributor of Subutex®, and Reckitt Benckiser, its supplier, led Schering-Plough to pay commissions to Reckitt Benckiser, holder of the Subutex® patent, in 2005, the amount of which was provided by Reckitt Benckiser itself (reference 27773), corresponding to 38.1% of the amount of sales of this drug. The share of these commissions in the total revenues is consistent with Schering-Plough's own statements (reference 18959) and the stipulations of the distribution contract binding these two companies (reference 29084). The value of sales retained for Reckitt Benckiser is therefore equal to 38.1% of the total sales value of Subutex® made in the city in 2005 and 61.9% for Schering-Plough.</w:t>
      </w:r>
    </w:p>
    <w:p>
      <w:r>
        <w:t>655. Thus, the value of sales for Schering-Plough amounts to 53,944,499 euros and that for Reckitt Benckiser to 33,144,501 euros.</w:t>
      </w:r>
    </w:p>
    <w:p>
      <w:r>
        <w:t>b) Regarding the determination of the base amount</w:t>
      </w:r>
    </w:p>
    <w:p>
      <w:r>
        <w:t>Concerning the severity of the facts</w:t>
      </w:r>
    </w:p>
    <w:p>
      <w:r>
        <w:t>656. The Authority assesses the severity of the facts objectively and concretely, in light of all relevant elements of the case at hand. The nature of the practice in question as well as the situation of the sector in which it was implemented will be taken into account here.</w:t>
      </w:r>
    </w:p>
    <w:p>
      <w:r>
        <w:t>657. As a preliminary point, it should be recalled that the Council, and then the Authority, consistently considers that practices occurring "in the public health sector, in which competition is already limited due to the existence of regulations aimed at ensuring the best health service for the population while preserving the budgetary balances of the health insurance system" are, in general, particularly serious (see, in particular, the decisions of the Competition Council no. 06-D-36 of December 6, 2006, concerning practices implemented by the civil society of means Imagerie Médicale du Nivolet, paragraph 177, and of the Authority no. 10-D-25 of July 28, 2010, concerning practices regarding access to the scanner and MRI located at the Arcachon hospital center, paragraph 141).</w:t>
      </w:r>
    </w:p>
    <w:p>
      <w:r>
        <w:t>658. Furthermore, the practices in question are all the more serious as they aim to hinder the entry into the market and the development of generic drugs, contrary to the stated objective of public authorities to reduce health expenditures in a constrained budgetary context. Thus, as La Mutualité Française recalls in its December 2012 report (references 21299 and following) on generic drugs: "In an increasingly constrained budgetary context, numerous measures for the economic regulation of medication have been implemented by public authorities. Their objective is to allow each patient to benefit from the most appropriate therapeutic strategy for their pathology, at the fairest price for the community. Generic drugs constitute a major tool for regulating drug expenditures as they provide patients with the same therapeutic benefit as their reference drugs, under the same safety conditions, but at a significantly lower cost."</w:t>
      </w:r>
    </w:p>
    <w:p>
      <w:r>
        <w:t>659. In this case, the infringement attributed to Schering-Plough and Reckitt Benckiser is, as explained in the developments relating to the qualification of the practice, an agreement between a distributor and its supplier, which aimed to limit the entry of the generic developed by Arrow, just before its marketing authorization in March 2006, while Schering-Plough held 100% of the market for the molecule.</w:t>
      </w:r>
    </w:p>
    <w:p>
      <w:r>
        <w:t>Concerning the damage to the economy</w:t>
      </w:r>
    </w:p>
    <w:p>
      <w:r>
        <w:t>660. The agreement between Schering-Plough and Reckitt Benckiser aimed to prepare the unilateral implementation by Schering-Plough of a strategy to discredit the generic of Subutex® and to foster loyalty among pharmacists. Schering-Plough always had the choice not to subsequently apply this strategy, despite the prior agreement concluded with Reckitt Benckiser.</w:t>
      </w:r>
    </w:p>
    <w:p>
      <w:r>
        <w:t>661. The damage to the economy caused by the agreement thus results entirely from the abuse of dominant position, which was implemented unilaterally by Schering-Plough. As such, it will not be taken into account in the assessment of the sanction for the agreement.</w:t>
      </w:r>
    </w:p>
    <w:p>
      <w:r>
        <w:t>Conclusion on the determination of the base amount</w:t>
      </w:r>
    </w:p>
    <w:p>
      <w:r>
        <w:t>662. Given the assessment just made of the legal criteria, the Authority will retain, to determine the base amount, a proportion of 4% of the value of sales made by Schering-Plough and Reckitt Benckiser on the French market for buprenorphine marketed in the city in 2005.</w:t>
      </w:r>
    </w:p>
    <w:p>
      <w:r>
        <w:t>Concerning the duration of participation</w:t>
      </w:r>
    </w:p>
    <w:p>
      <w:r>
        <w:t>663. In this case, the agreement began on October 5, 2005, and continued at least until December 9, 2005, as demonstrated in paragraphs 436 and following, i.e., two months and four days.</w:t>
      </w:r>
    </w:p>
    <w:p>
      <w:r>
        <w:t>664. The participation of the companies is therefore less than a full year. The Authority considers, in the circumstances of the case, that it is appropriate to retain a duration coefficient corresponding to the number of months during which the companies participated in the infringement. This coefficient of 0.16 will be applied to the entirety of the value of their sales during the reference accounting year.</w:t>
      </w:r>
    </w:p>
    <w:p>
      <w:r>
        <w:t>665. The base amount for Schering-Plough amounts to 345,245 euros and for Reckitt Benckiser to 212,125 euros.</w:t>
      </w:r>
    </w:p>
    <w:p>
      <w:r>
        <w:t>c) Regarding the individual situation</w:t>
      </w:r>
    </w:p>
    <w:p>
      <w:r>
        <w:t>On the economic power of the parties and the groups to which they belong</w:t>
      </w:r>
    </w:p>
    <w:p>
      <w:r>
        <w:t>666. The increase applied to Schering-Plough for its membership in the Merck &amp; Co. group has already been presented in the subsection on the abuse of dominant position.</w:t>
      </w:r>
    </w:p>
    <w:p>
      <w:r>
        <w:t>667. In this respect, the sanction applied to Schering-Plough is increased by 50% and raised to 517,867 euros.</w:t>
      </w:r>
    </w:p>
    <w:p>
      <w:r>
        <w:t>668. As noted in paragraph 436, the company Merck &amp; Co., previously named Schering-Plough Corp., sent the email of September 30, 2005, which constituted the invitation to participate in the agreement in question. Merck &amp; Co. will therefore be required to pay the full amount of the monetary sanction.</w:t>
      </w:r>
    </w:p>
    <w:p>
      <w:r>
        <w:t>669. Regarding Reckitt Benckiser Healthcare (UK), this company belongs to the Reckitt Benckiser plc group, which manufactures and distributes cleaning and personal hygiene products (Calgon, Woolite, Harpic, Vanish, Airwick, Cillit Bang, Veet...) as well as over-the-counter medications (Nurofen, Gaviscon, Strepsils...). Ranking among the leading global groups in household cleaning products, Reckitt Benckiser plc achieved a turnover of 9.567 billion pounds sterling in 2012, equivalent to 11.419 billion euros in 2012, with an average monthly EUR/GBP exchange rate at the end of November 2013 of 0.837801609.</w:t>
      </w:r>
    </w:p>
    <w:p>
      <w:r>
        <w:t>670. In this respect, the sanction applied to Reckitt Benckiser will be increased by 50% and raised to 318,187 euros, rounded to 318,000 euros.</w:t>
      </w:r>
    </w:p>
    <w:p>
      <w:r>
        <w:rPr>
          <w:b/>
        </w:rPr>
        <w:t>[Pages 118–120]</w:t>
      </w:r>
    </w:p>
    <w:p>
      <w:r>
        <w:t>provision dans les contrats de distribution de MSD France interdisant toute pratique de dénigrement des médicaments génériques.</w:t>
      </w:r>
    </w:p>
    <w:p>
      <w:r>
        <w:t>681. Ces engagements visent à garantir une concurrence loyale sur le marché des médicaments génériques et à prévenir toute pratique anticoncurrentielle à l'avenir. Ils seront soumis à un suivi régulier par l'Autorité de la concurrence afin de s'assurer de leur mise en œuvre effective.</w:t>
      </w:r>
    </w:p>
    <w:p>
      <w:r>
        <w:t>682. En conséquence, l'Autorité de la concurrence considère que ces engagements, associés à la réduction de la sanction de 20 %, constituent une réponse appropriée aux griefs formulés et permettent de restaurer une concurrence effective sur le marché.</w:t>
      </w:r>
    </w:p>
    <w:p>
      <w:r>
        <w:t>683. L'Autorité de la concurrence se réserve le droit de réexaminer ces engagements et de prendre toute mesure nécessaire si elle constate qu'ils ne sont pas respectés ou si de nouvelles pratiques anticoncurrentielles apparaissent.</w:t>
      </w:r>
    </w:p>
    <w:p>
      <w:r>
        <w:t>684. Enfin, l'Autorité de la concurrence rappelle que la mise en œuvre de ces engagements ne préjuge pas de l'éventuelle responsabilité civile ou pénale des sociétés concernées pour les pratiques antérieures à cette décision.</w:t>
      </w:r>
    </w:p>
    <w:p>
      <w:r>
        <w:rPr>
          <w:b/>
        </w:rPr>
        <w:t>[Pages 121–123]</w:t>
      </w:r>
    </w:p>
    <w:p>
      <w:r>
        <w:t>section regarding compliance with this specific procedure in the report on adherence to the compliance program. This procedure is of real interest for the competitive functioning of the sector in question. Under these conditions, in order to take into account both the waiver to contest the grievances and the proposed commitments, the sanctions imposed on Schering-Plough have been reduced by 20%.</w:t>
      </w:r>
    </w:p>
    <w:p>
      <w:r>
        <w:t>Sanctions proportionate to the severity of the facts, the importance of the damage to the economy, and the situation of the company</w:t>
      </w:r>
    </w:p>
    <w:p>
      <w:r>
        <w:t>Based on all these elements, the Competition Authority considered that Schering-Plough had abused its dominant position and violated, in particular, Article L. 420-2 of the Commercial Code. The two practices of abuse of dominant position being particularly serious and having caused significant damage to the economy over a period extending beyond their mere implementation period, they justify the sanction, after a 20% reduction for the non-contestation of the grievances, of 15.3 million euros imposed on Schering-Plough as well as, jointly and severally, on its parent companies Financière MSD and Merck &amp; Co.</w:t>
      </w:r>
    </w:p>
    <w:p>
      <w:r>
        <w:t>DECISION</w:t>
      </w:r>
    </w:p>
    <w:p>
      <w:r>
        <w:t>Article 1: It is established that the companies Schering-Plough, Financière MSD, and Merck &amp; Co. have violated the provisions of Article L. 420-2 of the Commercial Code as well as those of Article 102 of the Treaty on the Functioning of the European Union, by implementing a practice of denigration of the high-dose generic buprenorphine of Arrow Génériques and by granting community pharmacists financial advantages of a loyalty nature without any economically justified counterpart in the French market for high-dose buprenorphine marketed in the community.</w:t>
      </w:r>
    </w:p>
    <w:p>
      <w:r>
        <w:t>Article 2: It is established that the companies Schering-Plough, Financière MSD, and Merck &amp; Co., on the one hand, and Reckitt Benckiser Healthcare (UK) Ltd and Reckitt Benckiser plc, on the other hand, have violated the provisions of Article L. 420-1 of the Commercial Code and Article 101 of the Treaty on the Functioning of the European Union by participating in an anti-competitive agreement.</w:t>
      </w:r>
    </w:p>
    <w:p>
      <w:r>
        <w:t>Article 3: For the practices referred to in Article 1, a financial penalty of 15,367,000 euros is imposed jointly and severally on Schering-Plough, Financière MSD, and Merck &amp; Co.</w:t>
      </w:r>
    </w:p>
    <w:p>
      <w:r>
        <w:t>Article 4: The following financial penalties are imposed for the practices referred to in Article 2:</w:t>
        <w:br/>
        <w:t>- 414,000 euros jointly and severally on Schering-Plough, Financière MSD, and Merck &amp; Co.;</w:t>
        <w:br/>
        <w:t>- 318,000 euros jointly and severally on Reckitt Benckiser Healthcare (UK) Ltd and Reckitt Benckiser plc.</w:t>
      </w:r>
    </w:p>
    <w:p>
      <w:r>
        <w:t>Article 5: The companies Schering-Plough, Financière MSD, and Merck &amp; Co. are ordered to fully comply with the commitments referred to in paragraphs 640 and following and paragraphs 674 and 675, the definitive version of which is attached to this decision, which are made mandatory.</w:t>
      </w:r>
    </w:p>
    <w:p>
      <w:r>
        <w:t>Article 6: The legal entities referred to in Article 1 shall publish at their own expense the text appearing in paragraph 679 of this decision in the newspapers "Le Quotidien du Médecin" and "Le Quotidien du Pharmacien," while respecting the formatting. This publication shall appear in a box in black characters on a white background with a height of at least three millimeters under the following title, in bold characters of the same size: "Decision of the Competition Authority No. 13-D-21 of December 18, 2013, regarding practices implemented in the French market for high-dose buprenorphine marketed in the community." It may be followed by a mention that the decision has been appealed to the Court of Appeal of Paris if such appeals are filed. The concerned legal entities shall send, by registered mail, to the procedure office, a copy of this publication, as soon as it is published and no later than February 18, 2014.</w:t>
      </w:r>
    </w:p>
    <w:p>
      <w:r>
        <w:t>Deliberated on the oral report of Ms. Geneviève Wibaux, rapporteur, and the oral intervention of Mr. Éric Cuziat, deputy general rapporteur, by Mr. Emmanuel Combe, vice-president, president of the session, Ms. Laurence Idot, Ms. Reine-Claude Mader-Saussaye, and Mr. Yves Brissy, members.</w:t>
      </w:r>
    </w:p>
    <w:p>
      <w:r>
        <w:t>The session secretary, The session president,</w:t>
        <w:br/>
        <w:t>Caroline Chéron Emmanuel Combe</w:t>
        <w:br/>
        <w:t>© Competition Authority</w:t>
      </w:r>
    </w:p>
    <w:p>
      <w:r>
        <w:rPr>
          <w:b/>
        </w:rPr>
        <w:t>[Pages 124–126]</w:t>
      </w:r>
    </w:p>
    <w:p>
      <w:r>
        <w:t xml:space="preserve">Confidential  </w:t>
        <w:br/>
        <w:t xml:space="preserve">Draft of February 14, 2013  </w:t>
        <w:br/>
        <w:t>Draft commitments of Merck &amp; Co in the context of a potential non-contestation procedure regarding the grievances notified in file No. 06/0084 F</w:t>
      </w:r>
    </w:p>
    <w:p>
      <w:r>
        <w:t>Schering-Plough, Financière MSD, and Merck &amp; Co are considering the possibility of not contesting the grievances notified by the Competition Authority in the context of file No. 06/0084 F related to practices implemented in the high-dose buprenorphine sector. In the context of such a non-contestation procedure, Merck &amp; Co intends to commit, based on Article L. 464-2 of the Commercial Code and on behalf of its French subsidiary MSD France, to establish a compliance program with competition rules within MSD France (hereinafter the "Compliance Program") and to make a specific commitment regarding the procedure applicable to the branded medicines marketed by MSD France that will soon fall into the public domain.</w:t>
      </w:r>
    </w:p>
    <w:p>
      <w:r>
        <w:t xml:space="preserve">I. SCOPE OF THE COMMITMENTS  </w:t>
        <w:br/>
        <w:t>The commitments cover the activities of MSD France related to the marketing of human-use medicines in France. The commitments cover all products and all brands marketed by MSD France in France to wholesalers, pharmacists, and/or hospitals in the field of human-use medicines.</w:t>
      </w:r>
    </w:p>
    <w:p>
      <w:r>
        <w:t>Since July 1, 2011, all sales and marketing activities, as well as support activities, that were carried out within the respective headquarters of Schering-Plough and Laboratoires Merck Sharp &amp; Dohme-Chibret have been transferred to the company Unicet, which changed its corporate name to MSD France on the same day. MSD France is a subsidiary of Financière MSD considering its direct and indirect shareholding. Financière MSD is itself indirectly a subsidiary of Schering-Plough Corporation, which became Merck &amp; Co after the merger completed on November 3, 2009. Schering-Plough and Laboratoires Merck Sharp &amp; Dohme-Chibret are engaged in the research, manufacturing, and sale of human-use medicines, but only to subsidiaries of the Merck &amp; Co group or to third-party pharmaceutical companies. Schering-Plough and Laboratoires Merck Sharp &amp; Dohme-Chibret do not market human-use medicines to wholesalers, pharmacies, or hospitals. MSD France is the only company in the Merck &amp; Co group that markets human-use medicines to wholesalers, pharmacies, or hospitals in France. Consequently, the commitments only cover MSD France. If Schering-Plough and Laboratoires Merck Sharp &amp; Dohme-Chibret were to change their activities and market human-use medicines to wholesalers, pharmacies, or hospitals in France, the commitments would then apply to Schering-Plough and Laboratoires Merck Sharp &amp; Dohme-Chibret.</w:t>
      </w:r>
    </w:p>
    <w:p>
      <w:r>
        <w:t>The commitments do not apply to the joint venture Sanofi Pasteur MSD, whose activity concerns exclusively vaccines.</w:t>
      </w:r>
    </w:p>
    <w:p>
      <w:r>
        <w:t xml:space="preserve">II. THE COMPLIANCE PROGRAM WITH COMPETITION RULES  </w:t>
        <w:br/>
        <w:t xml:space="preserve">1. Commitment to comply with competition rules  </w:t>
        <w:br/>
        <w:t>MSD France commits to ensuring that the President, the Legal Director, the Financial Director, the Compliance Officer, the Market Access Director, the Strategy and Operations Support Director, and all Directors of the Therapeutic Units (also called business units) in France of MSD France sign a letter in which they will emphasize that compliance with competition rules is not only a legal obligation but also a central element of the company's economic responsibility and in which they will commit to respecting competition rules and supporting the Compliance Program.</w:t>
      </w:r>
    </w:p>
    <w:p>
      <w:r>
        <w:t>MSD France commits to ensuring that any successors of the individuals mentioned in the previous paragraph also sign, upon their hiring, a letter in which they will emphasize that compliance with competition rules is not only a legal obligation but also a central element of the company's economic responsibility and in which they will commit to respecting competition rules and supporting the Compliance Program.</w:t>
      </w:r>
    </w:p>
    <w:p>
      <w:r>
        <w:t xml:space="preserve">2. Awareness and training program  </w:t>
        <w:br/>
        <w:t xml:space="preserve">2.1. Employee awareness of competition law  </w:t>
        <w:br/>
        <w:t>MSD France will implement a Code of Conduct that will address issues related to competition law: the meaning and scope of the essential rules and principles of competition law, the importance and interest of these rules, risks associated with non-compliance with these rules (necessity of compliance with competition law under penalty of sanction), and rules of conduct to be respected regarding the provisions of competition law. The Code of Conduct will contain a section regarding competition law issues raised by the entry of generics into the market.</w:t>
      </w:r>
    </w:p>
    <w:p>
      <w:r>
        <w:t>The Code of Conduct will be distributed, within six months from the decision of the Competition Authority, to all current employees of MSD France working in France, as well as, on the day of their hiring, to all new employees working in France. MSD France commits to asking all employees of MSD France working in France (current and future) to sign a certificate indicating that they have received and read the said Code of Conduct, and that they commit to respecting it.</w:t>
      </w:r>
    </w:p>
    <w:p>
      <w:r>
        <w:t>In accordance with applicable provisions of the Labor Code, the Code of Conduct will be subject to information-consultation with the representative institutions of the personnel. Additionally, it will be communicated to the registry of the Labor Court and to the competent labor inspector.</w:t>
      </w:r>
    </w:p>
    <w:p>
      <w:r>
        <w:t xml:space="preserve">2.2. Training  </w:t>
        <w:br/>
        <w:t xml:space="preserve">- MSD France will organize specific training dedicated to competition law for all employees working in France within the "Sales," "Marketing," "Market Access," and "Customer Service" functions (hereinafter the "Concerned Employees") within six months from the decision of the Competition Authority. This training will be provided under the responsibility of the Legal Department of MSD France. It will be tailored to the concrete situations that the Concerned Employees may encounter: it will specifically aim to raise awareness among the Concerned Employees about the issue of disparagement and the legal constraints applicable to the marketing conditions of human-use medicines.  </w:t>
        <w:br/>
        <w:t xml:space="preserve">- Furthermore, an annual competition law training will be organized for the Concerned Employees appointed in the last 12 months. This training will be provided under the responsibility of the Legal Department of MSD France. It will be tailored to the concrete situations that the Concerned Employees are exposed to. Attendance at these training sessions will be mandatory.  </w:t>
        <w:br/>
        <w:t xml:space="preserve">Attendance records will be kept for a period of five years by the Compliance Officer of MSD France.  </w:t>
        <w:br/>
        <w:t>Training support documents will be permanently accessible on the Intranet of MSD France.</w:t>
      </w:r>
    </w:p>
    <w:p>
      <w:r>
        <w:t xml:space="preserve">2.3. E-learning  </w:t>
        <w:br/>
        <w:t xml:space="preserve">- In addition to training sessions, MSD France will implement e-learning tools on competition law, including practical cases adapted to the pharmaceutical sector.  </w:t>
        <w:br/>
        <w:t xml:space="preserve">- Each Concerned Employee will be required to complete an e-learning module related to competition law at least once a year. MSD France will establish a process to monitor each Concerned Employee's participation in the annual e-learning training (notably, sending a reminder to those who have not yet participated in the training and establishing a list of individuals who have participated in the e-learning module).  </w:t>
        <w:br/>
        <w:t>- At the end of each module, the Concerned Employees will be subjected to a knowledge test on competition law. Any Concerned Employee who answers correctly to less than 80% of the questions in the test will have to retake this training in e-learning format within the following month. If they fail again, they will have to attend in person the next annual competition law training session intended for recently appointed Concerned Employees, as mentioned in point 2.2.</w:t>
      </w:r>
    </w:p>
    <w:p>
      <w:r>
        <w:t xml:space="preserve">2.4. Available information and consultation with the Legal Department of MSD France  </w:t>
        <w:br/>
        <w:t xml:space="preserve">- The Code of Conduct, as defined in point 2.1 of this draft of commitments, will be permanently accessible on the Intranet of MSD France.  </w:t>
        <w:br/>
        <w:t>- Any employee with questions regarding the application of competition law may consult the Legal Department by any means (mail, email, phone, or in person).</w:t>
      </w:r>
    </w:p>
    <w:p>
      <w:r>
        <w:rPr>
          <w:b/>
        </w:rPr>
        <w:t>[Pages 127–129]</w:t>
      </w:r>
    </w:p>
    <w:p>
      <w:r>
        <w:t>Confidential</w:t>
      </w:r>
    </w:p>
    <w:p>
      <w:r>
        <w:t>3. Creation of a Competition Law Compliance Committee</w:t>
        <w:br/>
        <w:t>- A Competition Law Compliance Committee (hereinafter, the "Competition Law Compliance Committee") will be established within MSD France within six months from the decision of the Competition Authority. The Competition Law Compliance Committee will be composed of the President, the Legal Director, and the Compliance Officer of MSD France. The Competition Law Compliance Committee will be responsible for the implementation and monitoring of the Competition Compliance Program, as described in these commitments. The Competition Law Compliance Committee may directly access the control bodies, particularly in cases where a potential violation of competition law is identified. The Competition Law Compliance Committee will establish a attendance sheet for each of its meetings, which will be signed by each participant.</w:t>
      </w:r>
    </w:p>
    <w:p>
      <w:r>
        <w:t>4. Procedure for Alerting Potential Violations of Competition Law</w:t>
        <w:br/>
        <w:t xml:space="preserve">MSD France will implement, within six months from the decision of the Competition Authority, a reporting procedure that will allow employees of MSD France, at any time and confidentially, in compliance with applicable regulations and in particular the provisions of the "Informatique et Libertés" law, to contact the Legal Department or the Compliance Officer of MSD France to report any potential violation of competition rules. </w:t>
        <w:br/>
        <w:t>- When an employee in good faith informs the Legal Department or the Compliance Officer of a potential violation of competition rules, they will not face retaliation from MSD France in this regard. However, the manifestly abusive use of the system may expose its author to disciplinary sanctions. If the employee has participated in a potential violation of competition law of which they have duly informed the Legal Department or the Compliance Officer, they may obtain a total or partial exemption from disciplinary sanction. Following an alert revealing plausible and credible facts, the Legal Department or the Compliance Officer of MSD France will immediately inform the Competition Law Compliance Committee of any serious potential violation of competition rules. The Competition Law Compliance Committee will implement the investigation procedures in force within the Merck group. If the materiality of the facts is confirmed, the Committee will take all measures it deems necessary to put an end to the violation of competition rules (including disciplinary sanctions that may lead to dismissal). A note describing this alert procedure will be included in the Code of Conduct, which will be distributed, within six months from the decision of the Competition Authority, to all current employees of MSD France working in France, as well as, on their start date, to all new employees working in France (see point 2.1). In accordance with applicable law, this commitment is proposed to the Competition Authority subject to a declaration to the CNIL (National Commission for Information Technology and Civil Liberties) if applicable. Furthermore, as indicated in point 2.1, this commitment must be subject to information-consultation with the representative institutions of the staff.</w:t>
      </w:r>
    </w:p>
    <w:p>
      <w:r>
        <w:t>5. Mechanisms for Compliance with Commitments and Compliance with Competition Law</w:t>
        <w:br/>
        <w:t>- Internal audit on compliance with the procedures established by the Compliance Program: MSD France will organize an annual audit regarding compliance with the procedures established by the Competition Compliance Program as outlined in points 1 to 4 above. At the end of each of the first five audits, MSD France will prepare and make available to the Competition Authority a report on compliance with the procedures established by the Compliance Program, which will aim to verify:</w:t>
        <w:br/>
        <w:t>o the signing of a commitment letter to comply with competition law by the President, the Legal Director, the Financial Director, the Compliance Officer, the Market Access Director, the Strategy and Operations Support Director, all Directors of the Therapeutic Units in France of MSD France, and by their potential successors;</w:t>
        <w:br/>
        <w:t>o the establishment of a Code of Conduct, its distribution to all current employees of MSD France working in France and to all new employees, as well as its presence on the Intranet of MSD France;</w:t>
        <w:br/>
        <w:t>o the organization of training dedicated to competition law within six months following the adoption of the decision of the Competition Authority for all Concerned Employees and the annual organization of training for new Concerned Employees;</w:t>
        <w:br/>
        <w:t>o the annual organization of an e-learning module related to competition law;</w:t>
        <w:br/>
        <w:t>o the establishment of the Competition Law Compliance Committee (the attendance sheets established during the meetings of the Competition Law Compliance Committee will be attached to the report);</w:t>
        <w:br/>
        <w:t xml:space="preserve">o the establishment of the alert procedure for potential violations of competition law. </w:t>
        <w:br/>
        <w:t>Moreover, in addition to the audit on compliance with the procedures established by the Compliance Program, MSD France will organize every three years an audit concerning compliance with competition law on selected activities (based on samples).</w:t>
      </w:r>
    </w:p>
    <w:p>
      <w:r>
        <w:t>Confidential</w:t>
      </w:r>
    </w:p>
    <w:p>
      <w:r>
        <w:t>6. Sanction for Non-Compliance with Competition Law</w:t>
        <w:br/>
        <w:t xml:space="preserve">- Every new employment contract will include a clause stating that violations of competition law will be considered serious breaches of the employment contract and may be sanctioned. In order for existing employment contracts to be modified accordingly, MSD France will propose to current employees of the company, within six months from the decision of the Competition Authority, by way of an amendment to the ongoing contracts, to include a clause stating that violations of competition law will be considered serious breaches of the employment contract and may be sanctioned. </w:t>
        <w:br/>
        <w:t>- The Code of Conduct will describe the sanctions that may be applied to employees of the company in case of breaches of competition rules. Sanctions may range from disciplinary action to dismissal in the case of serious violations of competition rules. The implementation of these sanctions must be effective and proportionate to the individual situation and the behavior of the person concerned. When an employee duly informs the Legal Department or the Compliance Officer of a potential violation of competition law in which they participated, they may obtain a total or partial exemption from the sanction contemplated by MSD France.</w:t>
      </w:r>
    </w:p>
    <w:p>
      <w:r>
        <w:t>III. ADDITIONAL SPECIFIC COMMITMENT</w:t>
        <w:br/>
        <w:t>Creation of a specific procedure applicable to branded medicines marketed by MSD France that will soon enter the public domain</w:t>
        <w:br/>
        <w:t>- At least 24 months before a branded medicine marketed by MSD France enters the public domain:</w:t>
        <w:br/>
        <w:t>o the commercial strategy envisaged by MSD France to promote its branded medicine in relation to potential generic medicines of its specialty will be submitted for review and prior approval by the Competition Law Compliance Committee;</w:t>
        <w:br/>
        <w:t>o particularly subject to review will be the elements of commercial policy (hospital pricing, discounts to the pharmacy network, in particular) and significant marketing initiatives (notably regarding direct sales), as well as the content of documents that set the communication guidelines disseminated by the business units for the sales force of MSD France (excluding documents submitted to the ANSM);</w:t>
        <w:br/>
        <w:t>o specific training, conducted jointly by the legal department and the commercial department of MSD France with the possible support of specialized competition law counsel, regarding the prohibition of disparaging generic medicines of the branded medicine marketed by MSD France will be organized for all employees concerned with the sale of this branded medicine;</w:t>
      </w:r>
    </w:p>
    <w:p>
      <w:r>
        <w:rPr>
          <w:b/>
        </w:rPr>
        <w:t>[Pages 130–130]</w:t>
      </w:r>
    </w:p>
    <w:p>
      <w:r>
        <w:t>Confidential</w:t>
      </w:r>
    </w:p>
    <w:p>
      <w:r>
        <w:t>: o The materials used and the attendance sheets certifying participation in these trainings will be kept for a period of five years by the Compliance Officer of MSD France. Any substantial modification of the commercial policy and marketing initiatives occurring after their approval by the Competition Law Compliance Committee must be submitted for a new approval by the Competition Law Compliance Committee.</w:t>
      </w:r>
    </w:p>
    <w:p>
      <w:r>
        <w:t>- The report on compliance with the procedures established by the Compliance Program, as provided in point II-5, will include a section aimed at allowing verification of the implementation of the specific procedure set forth in this point III: list of reference drugs marketed by MSD France entering the public domain within the following 24 months, dates and agendas of the meetings during which the relevant documents (commercial strategy, elements of commercial policy, significant marketing initiatives, and main communication documents distributed by the business units for the use of the sales forces of MSD France) were reviewed by the Competition Law Compliance Committee, dates of specific trainings conducted on the prohibition of disparagement.</w:t>
      </w:r>
    </w:p>
    <w:p>
      <w:r>
        <w:t>As provided in point II-5, this report will be drafted and made available to the Competition Authority, at the end of each of the first five audits on compliance with the procedures established by the Compliance Program. MSD France will implement all of these commitments within six months from the decision of the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