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https://www.autoritedelaconcurrence.fr/fr/decision/relative-des-pratiques-mises-en-oeuvre-sur-le-secteur-du-cidre-et-des-pommes-cidre</w:t>
      </w:r>
    </w:p>
    <w:p>
      <w:r>
        <w:t>Pages translated : 8</w:t>
      </w:r>
    </w:p>
    <w:p/>
    <w:p>
      <w:r>
        <w:rPr>
          <w:b/>
        </w:rPr>
        <w:t>[Pages 1–3]</w:t>
      </w:r>
    </w:p>
    <w:p>
      <w:r>
        <w:t xml:space="preserve">RÉPUBLIQUE FRANÇAISE  </w:t>
        <w:br/>
        <w:t xml:space="preserve">Decision No. 07-D-18 of May 16, 2007  </w:t>
        <w:br/>
        <w:t xml:space="preserve">regarding practices implemented in the cider and cider apple sector  </w:t>
        <w:br/>
        <w:t xml:space="preserve">The Competition Council (permanent commission),  </w:t>
        <w:br/>
        <w:t xml:space="preserve">Having regard to the letter registered on December 7, 2006, under numbers 06/0090 F and 06/0091 M, by which SCEA Les Vergers de la Motte referred the matter to the Competition Council regarding practices implemented by the company Cidrerie du Calvados La Fermière and the agricultural cooperative society Agrial in the cider apple market and requested that interim measures be imposed based on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observations presented by the company CCLF (Agrial group) and by the Government Commissioner;  </w:t>
        <w:br/>
        <w:t xml:space="preserve">Having regard to the other documents in the file;  </w:t>
        <w:br/>
        <w:t xml:space="preserve">The rapporteur, the general rapporteur, the Government Commissioner, the representatives of SCEA Les Vergers de la Motte and the company Cidrerie du Calvados La Fermière heard during the session of April 17, 2007;  </w:t>
        <w:br/>
        <w:t>Adopts the following decision:</w:t>
      </w:r>
    </w:p>
    <w:p>
      <w:r>
        <w:t xml:space="preserve">I. Findings  </w:t>
        <w:br/>
        <w:t xml:space="preserve">1. By letter registered on December 7 under numbers 06/0090 F and 06/0091 M, SCEA Les Vergers de la Motte (hereinafter "the SCEA") referred the matter to the Competition Council regarding practices implemented by the company Cidrerie du Calvados La Fermière (hereinafter "CCLF"), a member of the agricultural cooperative society Agrial, in the cider apple market and also requested the imposition of interim measures.  </w:t>
        <w:br/>
        <w:t xml:space="preserve">A. THE SECTOR OF ACTIVITY  </w:t>
        <w:br/>
        <w:t xml:space="preserve">1. HISTORY: CONTRACTS BINDING APPLE PRODUCERS TO CCLF AND THE CONCENTRATION OF THE CIDER SECTOR  </w:t>
        <w:br/>
        <w:t xml:space="preserve">2. The SCEA began its cider apple production activity in the Vergers de la Motte (Saulnières, Ille et Vilaine) in 1988. For this purpose, it successively signed four contracts with the company CCLF, each with a duration of 18 years, corresponding to successive extensions of its operation. Under these contracts, the SCEA committed to supply all of its apples to CCLF, and the latter committed to purchase them. Today, the SCEA claims to have a production potential that varies between 400 and 500 tons of apples per year. According to Agrial, its production is much lower, as it only delivered 117 tons of apples in 2004 and 80 tons in 2005.  </w:t>
        <w:br/>
        <w:t xml:space="preserve">3. Under these contracts, which were generalized in the profession, the selling price was to be set each year by the National Interprofessional Association of Cider Economy (ANIEC) grouping the main representatives of the cider sector. In the absence of an agreement within ANIEC, prices were calculated based on the average prices practiced during the previous 5 years. This principle was applied by CCLF between 1995 (date of dissolution of ANIEC) and 1998 (date of creation of the National Interprofessional Cider Union - UNICID). Following a letter from the DGCCRF dated October 1, 1998, reminding that the recommendation of prices by an interprofessional organization was contrary to the provisions of Ordinance No. 86/1243 of December 1, 1986, CCLF decided to apply the average price of the last five years, increased by 15 to 25% according to the contracts.  </w:t>
        <w:br/>
        <w:t>4. This method of price setting led several apple producers, including the SCEA, to sue CCLF before the Commercial Court of Rennes. All producers reached an agreement with CCLF except for two, including the SCEA, but the latter withdrew during the proceedings. Regarding the contract signed by CCLF with the other producer, the Commercial Court of Rennes, noting that the price setting by the profession constituted an agreement, declared it null by a judgment of March 28, 2002. This judgment was confirmed by a ruling of the Court of Appeal of Rennes on September 23, 2003. Furthermore, a judgment of the High Court of Rennes on September 26, 2006, relating to a dispute between the SCEA and CCLF regarding the reclassification of supply contracts as integration contracts, adopted the same position as that taken by the Court of Appeal of Rennes and declared the contracts binding SCEA Les Vergers de la Motte to CCLF null.</w:t>
      </w:r>
    </w:p>
    <w:p>
      <w:r>
        <w:t xml:space="preserve">5. The cider sector has consolidated in recent years. Historically, two main groups have formed in France: on one side, the company Cidreries et Sopagly Réunies (hereinafter "CSR"), belonging to the Pernod Ricard group, and on the other, CCLF. These two companies have gradually acquired independent cider makers. Thus, CSR acquired La Cidraie in 1975, Loïc Raison in 1983, and the Duché de Longueville in 1992. In 1993, the Cidrerie du Calvados and La Fermière merged to become CCLF, and then the latter acquired the Breton cider house Guillet in 1999. The company CCLF carried out a major operation in 2002 by purchasing CSR from Pernod Ricard, the sector leader, which was then in difficulty. This operation was not controlled by the Minister of Economy, Finance, and Industry, as the turnover thresholds provided for by Article L. 430-2 were not reached. In 2004, the Agrial cooperative, present in several sectors, including apple production, acquired the company CCLF. This operation was authorized by a letter from the Minister of Economy, Finance, and Industry dated July 6, 2004.  </w:t>
        <w:br/>
        <w:t xml:space="preserve">6. From May 2004, following the ruling of the Court of Appeal of Rennes and due to a crisis of overproduction of apples, CCLF proposed a modification of contracts to producers. Thus, amendments to the ongoing contracts were signed, setting prices at €150 per ton of cider apples, €135 per ton of acidic or juice apples, and a minimum of €61 for out-of-quota apples. These prices were negotiated with producers in 2004, the first proposal being less favorable to them. These prices replace those set in the ongoing contracts. Subsequently, contracts for a 3-year renewal every two years were signed with lower prices (€135 per ton of cider apples, €115 per ton of acidic or juice apples) for producers whose contracts were about to expire. For producers who did not wish to adhere to these new conditions, CCLF maintained the old contracts but warned that they would not be renewed at their term. This was the case for the SCEA, which did not wish to sign the new contracts proposed by CCLF.  </w:t>
        <w:br/>
        <w:t xml:space="preserve">7. Today, all producers have either adhered to a tree uprooting plan implemented by ONIVINS or signed new contracts with CCLF. Only two producers, including the SCEA, have refused to adhere to the new conditions proposed by CCLF. The contracts between SCEA Les Vergers de la Motte and CCLF having been declared null by the High Court of Rennes on September 26, 2006, and the sector being highly concentrated, the SCEA claims to have no outlet for its apples and complains of an abuse of dominant position by CCLF and Agrial.  </w:t>
        <w:br/>
        <w:t xml:space="preserve">2. THE DEFINITION OF MARKETS AND THE MAIN ACTORS PRESENT  </w:t>
        <w:br/>
        <w:t xml:space="preserve">8. The SCEA considers that there is a market for cider apples. The Minister of Economy, Finance, and Industry, in his decision of July 6, 2004, authorizing the acquisition of CCLF by Agrial, did not comment on the exact definition of the markets, as the concentration operation did not pose competition problems. Furthermore, the Government Commissioner in his observations states that "there is not a relevant market for cider apples insofar as the regulations specific to cider (Decree No. 53-978 of September 13, 1953) do not establish a list of apple varieties whose use would be mandatory for the production of cider."  </w:t>
        <w:br/>
        <w:t>9. While cider apples are primarily intended for cider production, they can also be used in the production of apple juice and apple concentrate. However, these sectors pay much less for apples than cider manufacturers, the quality level and type of apples used being less important. Regarding</w:t>
      </w:r>
    </w:p>
    <w:p>
      <w:r>
        <w:rPr>
          <w:b/>
        </w:rPr>
        <w:t>[Pages 4–6]</w:t>
      </w:r>
    </w:p>
    <w:p>
      <w:r>
        <w:t>concerning cider, it appears that some industrial cider manufacturers use several varieties of apples and do not limit themselves to cider apples, which thus appear to be partially substitutable with other varieties.</w:t>
      </w:r>
    </w:p>
    <w:p>
      <w:r>
        <w:t>10. Regarding the geographical delimitation of the market, the proximity of outlets is an important factor due to the fragility of apples, which limits the possibilities of transporting them to distant customers. However, this factor must be put into perspective: indeed, apples from Brittany and Normandy are exported, notably to the north of Spain, leading the Government Commissioner to assert the existence of an apple market "of at least European dimension."</w:t>
      </w:r>
    </w:p>
    <w:p>
      <w:r>
        <w:t>11. Apple producers are farmers of very different sizes. Furthermore, they may be independent, bound by contracts with processors or cooperatives, or have joined a cooperative.</w:t>
      </w:r>
    </w:p>
    <w:p>
      <w:r>
        <w:t>12. Regarding the downstream market, the Competition Council defined a market for the marketing of cider in opinion No. 92-A-08 of October 20, 1992, concerning the acquisition of the companies Mignard and Cidreries et Vergers du Duché de Longueville by CSR.</w:t>
      </w:r>
    </w:p>
    <w:p>
      <w:r>
        <w:t>13. Cider production is very geographically concentrated. Indeed, three regions, Brittany, Normandy, and Pays-de-Loire, accounted for 95% of cider production in 2000. At the national level, as recognized by the aforementioned ministerial decision, CCLF (now Agrial) holds a particularly strong position in the cider marketing market. CCLF has five production sites in Brittany and Normandy and distributes the cider brands Loïc Raison, Ecusson, Kérisac, and Duché de Longueville. It also holds a strong position regarding private label brands (CCLF represents 60% of the volumes marketed under private labels and economy brands). Across all types of cider (table cider, bottled cider, private labels, and manufacturer brands), CCLF accounts for 60% of national cider production. When distinguishing between the out-of-home catering channel and the large distribution channel, 65% of the volumes marketed by large distribution and 60% of the volumes sold out-of-home are produced by CCLF (including manufacturer brands and private labels).</w:t>
      </w:r>
    </w:p>
    <w:p>
      <w:r>
        <w:t>14. CCLF's competitors are the company Val de Vire, based in Normandy (15% of volumes marketed in large and medium-sized stores (GMS) and 5% of volumes marketed out-of-home), the company Val de Rance based in Brittany (8% to 10% of volumes marketed in GMS and 15% of volumes marketed out-of-home), and finally, regional or even local artisans (20% of volumes marketed out-of-home and 10% to 15% of volumes marketed by GMS).</w:t>
      </w:r>
    </w:p>
    <w:p>
      <w:r>
        <w:t>B. THE PRACTICES DENOUNCED AND THE REQUESTED INTERIM MEASURES</w:t>
      </w:r>
    </w:p>
    <w:p>
      <w:r>
        <w:t>15. The SCEA considers that, due to the concentrations that have occurred in the cider sector, it is now in a position of economic dependence on Agrial. It argues that the latter company has abused its monopoly position in the cider apple processing market in Brittany by unilaterally modifying contracts without possible negotiation on price, which, moreover, would be below the level necessary to conduct an economically viable activity. Furthermore, during the term of the contracts, Agrial would have, according to the complainant, abused its dominant position by applying discriminatory grading techniques for apples, systematically disqualifying the SCEA's apples in order to pay them a lower price.</w:t>
      </w:r>
    </w:p>
    <w:p>
      <w:r>
        <w:t>16. The SCEA, being in a particularly difficult situation since the annulment of its contracts by the TGI of Rennes and finding no other outlets for its harvest of October 2007, requests that the following interim measures be adopted pending a decision on the merits:</w:t>
        <w:br/>
        <w:t>a. "Advance by Agrial the necessary crop advances to the SCEA Les Vergers de la Motte to be able to last until the next harvest (October 2007). This to be offset against the delivery of my harvest. This is what Agrial already proposes in the contracts it has entered into with other fruit growers."</w:t>
        <w:br/>
        <w:t>b. Abandonment of a discriminatory grading that is merely a pretext to reduce the price paid to the grower and used as an additional means of pressure against the "naughty" defined as such by this cooperative.</w:t>
        <w:br/>
        <w:t>c. Ensure that a price is defined before delivery and not after.</w:t>
        <w:br/>
        <w:t>d. Freezing of uprooting premiums or at least increased monitoring of the funds that constituted the rescue plan of a sector that risks being diverted exclusively for the benefit of Agrial's interests since Mr. Malinowski (Director of Agrial) took over the management of "ONIVINS."</w:t>
      </w:r>
    </w:p>
    <w:p>
      <w:r>
        <w:t>17. Essentially, the SCEA requests that Agrial provide it with a crop advance for the next harvest and guarantee the continuity of its contracts with improvements regarding price fixing and the grading system. It also wishes for better control of the uprooting premiums granted by ONIVINS.</w:t>
      </w:r>
    </w:p>
    <w:p>
      <w:r>
        <w:t>II. Discussion</w:t>
      </w:r>
    </w:p>
    <w:p>
      <w:r>
        <w:t>18. Article R. 464-1 of the Commercial Code states that "the request for interim measures mentioned in Article L. 464-1 of the Commercial Code can only be made incidentally to a referral on the merits to the Competition Council. It can be presented at any time during the procedure and must be justified." A request for interim measures can therefore only be examined as long as the referral on the merits is not rejected for lack of sufficiently probative elements, in application of paragraph 2 of Article L. 462-8 of the Commercial Code according to which the Competition Council, "(...) may also reject the referral by reasoned decision when it considers that the facts invoked are not supported by sufficiently probative elements."</w:t>
      </w:r>
    </w:p>
    <w:p>
      <w:r>
        <w:t>A. ON THE ABUSE OF ECONOMIC DEPENDENCE</w:t>
      </w:r>
    </w:p>
    <w:p>
      <w:r>
        <w:t>19. The SCEA believes it is in a position of economic dependence on Agrial. Indeed, it considers that due to the size of its business and the current market situation, it can only sell its apples to Agrial.</w:t>
      </w:r>
    </w:p>
    <w:p>
      <w:r>
        <w:t>20. According to the National Federation of Cider Fruit Producers (FNPFC), several outlets exist for fruit sales: selling to a collection cooperative as a member or under a contract, selling to processors, processing fruit on the farm, and selling on the "free market," that is, depending on the needs of processors or traders. Furthermore, the export market to Spain is developing: its growth was 15% in 2005 (Xerfi Study 700 January 2006).</w:t>
      </w:r>
    </w:p>
    <w:p>
      <w:r>
        <w:t>21. Regarding sales to cooperatives, the SCEA claims that only Agrial is likely to buy its apples. Indeed, Val de Vire would only buy apples from its members, and being outside the membership area of this cooperative, the SCEA would have no means to sell its apples to it. As for Val de Rance, it would limit its collection to its production area, namely the Côtes d'Armor and the Vallée de la Rance.</w:t>
      </w:r>
    </w:p>
    <w:p>
      <w:r>
        <w:t>22. As for selling to independent processors, the SCEA produces a significant quantity of apples (between 400 and 500 tons of apples per year), and small cider manufacturers would not have the necessary structure to accommodate such large quantities of apples. Moreover, these small regional artisans generally only process their own apples. The production of cider by the SCEA would represent, according to the SCEA, an unfeasible cost and risk for it at this time. Finally, the SCEA claims it cannot sell apples in Spain, the export market being controlled by Agrial.</w:t>
      </w:r>
    </w:p>
    <w:p>
      <w:r>
        <w:t>23. The SCEA's assertions are not corroborated by the investigation.</w:t>
      </w:r>
    </w:p>
    <w:p>
      <w:r>
        <w:t>24. The cooperatives Val de Vire and Val de Rance primarily source from their members and, due to their statutes, are limited to a district area. The territorial district of Val de Rance includes the department of Côtes d’Armor and the neighboring departments (Ille et Vilaine, Morbihan, and Finistère). This latter cooperative claims to have very few members outside the department of Côtes d’Armor because it sets a delivered price (it is the producer who delivers the fruit and thus pays for transport). As for Val de Vire, its territorial district includes Normandy and the neighboring departments.</w:t>
      </w:r>
    </w:p>
    <w:p>
      <w:r>
        <w:t>25. Furthermore, the cooperatives Val de Vire and Val de Rance say they also source from independent producers. Indeed, according to Val de Vire's explanations, "The Val de Vire Group […] is primarily supplied by the cooperative of Elle &amp; Vire. Non-member producers supplement the supplies of the Cidreries, as they were in contact with the Cidreries of Cahagnes and Mayennes acquired by Val de Vire in 2002-2003. The Val de Vire Group can source from non-contracted producers in addition to its contractual supply, depending on its commercial needs close to its factories within the framework of the IGP [Protected Geographical Indication] Normandy / Brittany." As for Val de Rance, it claims that supplies of apples from independent producers represent 30% of its supplies and that "even if we prioritize the IGP Brittany area, there is no exclusion."</w:t>
      </w:r>
    </w:p>
    <w:p>
      <w:r>
        <w:t>26. Regarding the possibility of exporting apples to Spain, the SCEA claims that it contacted about forty companies in France and Spain with a view to exporting apples and that they received no response. It provided for this purpose 8 faxes sent to traders. However, it emerges from the investigation that these individuals either do not know the SCEA or do not have any activity related to cider apples. In any case, none of them mentioned any pressure from Agrial.</w:t>
      </w:r>
    </w:p>
    <w:p>
      <w:r>
        <w:rPr>
          <w:b/>
        </w:rPr>
        <w:t>[Pages 7–8]</w:t>
      </w:r>
    </w:p>
    <w:p>
      <w:r>
        <w:t>27. Moreover, Mr. X..., an independent trader with no ties to Agrial, stated that he purchased apples in 2004 from Ms. Y..., a producer in the same situation as the SCEA. According to him, there is room for the export of apples to Spain, and he himself is seeking apples for export to Spain because the demand directed at him exceeds what he can produce himself. Ultimately, according to Agrial's estimates, it sells only 11% of its apples for export. Consequently, no evidence available to date suggests that Agrial has exerted any pressure on traders.</w:t>
      </w:r>
    </w:p>
    <w:p>
      <w:r>
        <w:t>28. The Court of Cassation clarified in a ruling dated March 3, 2004, that "the state of economic dependence for a distributor is defined as the situation of a company that does not have the possibility of substituting one or more suppliers with one or more other suppliers meeting its supply demand under technically and economically comparable conditions; it follows that the mere circumstance that a distributor realizes a very significant share with a single supplier is not sufficient to characterize its state of economic dependence within the meaning of Article L. 420-2 of the Commercial Code."</w:t>
      </w:r>
    </w:p>
    <w:p>
      <w:r>
        <w:t>29. While it is true that successive consolidations in the cider manufacturing and marketing market have limited the number of players offering outlets for cider apple producers, the investigation reveals that other outlets besides selling apples to Agrial, notably selling apples in Spain, are possible. Thus, it cannot be asserted that the SCEA is in a state of economic dependence on Agrial.</w:t>
      </w:r>
    </w:p>
    <w:p>
      <w:r>
        <w:t>30. Furthermore, even if a situation of economic dependence were to be considered at this stage, it would then be necessary to qualify an abuse on the part of Agrial. The cases, which are quite few, in which the Competition Council has qualified a practice as an abuse of economic dependence have most often involved a sudden and unilateral termination of contractual relations by a dominant operator. However, nothing of the sort appears in the present case: CCLF indeed proposed that the contracts be modified but respected the signed contracts until their expiration when the producers did not accept the new conditions. It was only due to the nullity of the contracts entered into between the SCEA and CCLF, pronounced by the TGI of Rennes after the refusal of SCEA Les Vergers de la Motte to accept new contractual conditions, that CCLF ceased its commercial relations with the SCEA.</w:t>
      </w:r>
    </w:p>
    <w:p>
      <w:r>
        <w:t>B. ON ABUSE OF DOMINANT POSITION</w:t>
      </w:r>
    </w:p>
    <w:p>
      <w:r>
        <w:t>31. The SCEA believes that it has been the victim of a discriminatory grading procedure by Agrial, aimed at classifying its apples in category C corresponding to the lowest quality in order to pay them less. It claims that no grading scale allows for the control of how Agrial classifies its apples. To this end, it produces a bailiff's letter dated October 20, 2004, concluding that "in the absence of a methodology for interpreting and applying the grading scale, any contradictory grading is impossible." Furthermore, it provides a letter from a former employee of CCLF dated from July 26, 2000, to December 9, 2000, who was responsible for grading the apples and states that the apples from the SCEA were systematically classified in category C.</w:t>
      </w:r>
    </w:p>
    <w:p>
      <w:r>
        <w:t>32. CCLF established a grading system for apples in the 1990s and created a scale in 1998 allowing for the classification of apples into categories A, B, or C based on criteria related to the presence of stones, leaves, soil, and wood in the goods and the stage of ripeness of the fruits. This scale explains how goods should be classified and what the conditions are to be classified in categories A, B, or C. Classification in category A entitles the producer to a premium, while classification in category C incurs a penalty compared to the contractual price. Under certain specific conditions (black or rotten fruits), CCLF may refuse the goods. This scale was generalized and updated in 2004 with the acquisition of CCLF by Agrial. In 2006, 63% of deliveries received an A or A+ rating, allowing producers to receive an additional premium of €3 to €6, 29% of deliveries received a B rating, which implies neither a premium nor a penalty, and 7.3% of deliveries received a C rating penalizing producers by €6 per ton.</w:t>
      </w:r>
    </w:p>
    <w:p>
      <w:r>
        <w:t>33. A representative of Agrial criticized the performance of the SCEA during his hearing by the rapporteur and further stated that its profitability rate is well below average. It would always deliver fewer apples than it indicates in its forecasts. To this end, Agrial provides letters and a bailiff's report dated between 1990 and 1995, which report the poor quality of the fruits delivered by the SCEA. This would explain the classification of the SCEA's apples in category C. The elements provided by the SCEA therefore appear insufficient to assert that it has been the victim of discriminatory treatment. Furthermore, the statements of the former CCLF employee concern apple deliveries that took place during the year 2000. These statements are contained in the letter cited in paragraph 31 and correspond to time-barred facts, pursuant to Article L. 462-7 of the Commercial Code, which states that the Council cannot be seized of facts dating back more than five years, noting that the first act aimed at investigating the facts was the referral to the Council that took place on December 7, 2006.</w:t>
      </w:r>
    </w:p>
    <w:p>
      <w:r>
        <w:t>34. It follows from all of the above that the facts denounced by the referral are not supported by sufficiently probative elements of the existence of practices that would have the object or effect of hindering the free play of competition within the meaning of the provisions of Article L. 420-2 of the Commercial Code. Consequently, it is appropriate to apply the provisions of Article L. 462-8 of the Commercial Code and to reject the referral on the merits and consequently the request for interim measures.</w:t>
      </w:r>
    </w:p>
    <w:p>
      <w:r>
        <w:t>DECISION</w:t>
      </w:r>
    </w:p>
    <w:p>
      <w:r>
        <w:t>Article 1: The referral on the merits registered under number 06/0090 F is rejected.</w:t>
      </w:r>
    </w:p>
    <w:p>
      <w:r>
        <w:t>Article 2: The request for interim measures registered under number 06/0091 M is rejected.</w:t>
      </w:r>
    </w:p>
    <w:p>
      <w:r>
        <w:t>Deliberated on the oral report of Ms. García-Rosado, by Ms. Perrot, Vice-President, presiding over the session, Ms. Aubert, Vice-President, and Ms. Xueref, member.</w:t>
      </w:r>
    </w:p>
    <w:p>
      <w:r>
        <w:t>The session secretary, The Vice-President,</w:t>
        <w:br/>
        <w:t>Rita Sougoumarane</w:t>
        <w:br/>
        <w:t>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