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https://www.autoritedelaconcurrence.fr/fr/decision/relative-des-pratiques-mises-en-oeuvre-sur-les-marches-des-armes-et-des-munitions-civiles</w:t>
      </w:r>
    </w:p>
    <w:p>
      <w:r>
        <w:t>Pages translated : 10</w:t>
      </w:r>
    </w:p>
    <w:p/>
    <w:p>
      <w:r>
        <w:rPr>
          <w:b/>
        </w:rPr>
        <w:t>[Pages 1–3]</w:t>
      </w:r>
    </w:p>
    <w:p>
      <w:r>
        <w:t xml:space="preserve">FRENCH REPUBLIC  </w:t>
        <w:br/>
        <w:t xml:space="preserve">Decision No. 05-D-07 of February 24, 2005  </w:t>
        <w:br/>
        <w:t xml:space="preserve">regarding practices implemented in the markets  </w:t>
        <w:br/>
        <w:t xml:space="preserve">of civilian arms and ammunition  </w:t>
        <w:br/>
        <w:t xml:space="preserve">The Competition Council (section IV),  </w:t>
        <w:br/>
        <w:t xml:space="preserve">Having regard to the letter registered on September 2, 1998, under number F 1080, by which the company Eric Briano referred to the Competition Council practices implemented by the company Browning Winchester France;  </w:t>
        <w:br/>
        <w:t xml:space="preserve">Having regard to the decision of September 28, 2004, of the president of the Competition Council deciding to implement the simplified procedure provided for in Article L. 463-3 of the Commercial Code;  </w:t>
        <w:br/>
        <w:t xml:space="preserve">Having regard to Articles 81 and 82 of the Treaty establishing the European Community;  </w:t>
        <w:br/>
        <w:t xml:space="preserve">Having regard to Book IV of the Commercial Code relating to the freedom of prices and competition, Decree No. 86-1309 of December 29, 1986, as amended, and Decree 2002-689 of April 30, 2002, setting the conditions for the application of Book IV of the Commercial Code;  </w:t>
        <w:br/>
        <w:t xml:space="preserve">Having regard to Communication No. 2004/C 101/107 of the Commission of April 27, 2004, on the guidelines relating to the concept of trade affecting competition as set out in Articles 81 and 82 of the Treaty establishing the European Community;  </w:t>
        <w:br/>
        <w:t xml:space="preserve">Having regard to the observations presented by the company Browning Sports France, succeeding the company Browning Winchester France, and by the Government Commissioner;  </w:t>
        <w:br/>
        <w:t xml:space="preserve">Having regard to the other documents in the file;  </w:t>
        <w:br/>
        <w:t xml:space="preserve">The rapporteur, the general rapporteur, the Government Commissioner, and the company Browning Winchester France heard during the session of January 26, 2005; Mr. X..., gunsmith, having been regularly summoned;  </w:t>
        <w:br/>
        <w:t>Adopts the following decision:</w:t>
      </w:r>
    </w:p>
    <w:p>
      <w:r>
        <w:t xml:space="preserve">I. Findings  </w:t>
        <w:br/>
        <w:t xml:space="preserve">A. THE CIVILIAN ARMS AND AMMUNITION SECTOR  </w:t>
        <w:br/>
        <w:t xml:space="preserve">1. THE PRODUCTS  </w:t>
        <w:br/>
        <w:t xml:space="preserve">1. The civilian arms sector includes firearms, ammunition, bladed weapons, equipment, and accessories. Equipment and accessories are now a crucial market for gunsmiths as they account for half of their turnover, compared to 30% for firearms. Firearms and ammunition sold for civilian use are equivalent or identical to those used by police and military forces. However, the civilian and military sectors should not be conflated. The distribution channels and purchasing procedures are fundamentally different, and the civilian arms sector is subject to very stringent European and national regulations.  </w:t>
        <w:br/>
        <w:t xml:space="preserve">2. Firearms include handguns and shoulder arms. These are divided into firearms for sport shooting and hunting firearms. Hunting firearms represent approximately 90% of the French market for new firearms for the period considered, 1997-2001. There is also a market for second-hand firearms, estimated to be between 30% and 40% of the new firearms market.  </w:t>
        <w:br/>
        <w:t xml:space="preserve">3. Hunting firearms are further divided into categories: smoothbore shotguns designed to shoot shot and rifled rifles designed for precise shooting of a bullet. These categories are then subdivided into subcategories based on the number of barrels and the mechanism: bolt-action, lever-action, semi-automatic, automatic. Subdivisions based on calibers could also be considered. The price range is very wide: from a few hundred to several tens of thousands of euros.  </w:t>
        <w:br/>
        <w:t xml:space="preserve">4. Regarding ammunition, a segmentation similar to that of firearms is conceivable based on, in particular, the type of weapon, the use, sport shooting or hunting, and the caliber.  </w:t>
        <w:br/>
        <w:t xml:space="preserve">2. THE SIZE OF THE MARKETS  </w:t>
        <w:br/>
        <w:t xml:space="preserve">5. The civilian market for arms and ammunition has been in continuous decline since 1993-1994, in France as in many other European countries. This decline is primarily due to the decrease in the number of hunters, which fell from 2.3 million in 1985 to 1.22 million in 2003 and continues to decrease by about 30,000 individuals per year. This main cause is compounded by market saturation and the tightening of legislation. The markets are now stabilized, for firearms, at 100,000 units per year, down from 200,000 at the beginning of the 1990s, representing approximately 100 million euros in value, and for ammunition, at 70 million euros, 20 million for metallic ammunition, 50 million for lead cartridges.  </w:t>
        <w:br/>
        <w:t xml:space="preserve">6. The applicable European and French regulations for firearm holders, on the one hand, and for retailers, on the other hand, have been reviewed restrictively with the entry into force of the European directive of June 18, 1991, concerning the control of the acquisition and possession of firearms and the decrees of May 6, 1995, and December 16, 1998, modifying the regime for war materials, arms, and ammunition. The acquisition and possession of firearms and ammunition by individuals are subject to authorization. Gunsmiths are a regulated profession; their sales must be recorded and can be controlled. Finally, since 1998, individuals are required to store their firearms in a safe.  </w:t>
        <w:br/>
        <w:t xml:space="preserve">7. The issuance of a hunting license is subject to an examination that includes a theoretical test and a practical test. The license must also be validated by the payment of an annual fee, 38 € for the departmental fee or 194 € for the national fee.  </w:t>
        <w:br/>
        <w:t xml:space="preserve">3. THE PARTICIPANTS  </w:t>
        <w:br/>
        <w:t xml:space="preserve">8. The markets for firearms and ammunition are very fragmented. In the absence of professional statistics, the assessment of market shares of the various participants is necessarily approximate.  </w:t>
        <w:br/>
        <w:t xml:space="preserve">9. In the firearms market, two groups have an estimated share of 15% each: Browning Winchester and Beretta-Benelli-Franki. Two other companies hold shares of about 10% in volume, the French manufacturer Verney-Caron and the importer Europ-Arm. The latter is positioned in the low-price segment. The remaining 50% is divided among about fifty brands, including the second French manufacturer Chapuis and the global leader, Remington.  </w:t>
        <w:br/>
        <w:t xml:space="preserve">10. In the lead cartridge segment, the following companies were active during the period in question: the French group NobelSport, the Italian company Cheddite, and the Spanish company TNT Rio. Additionally, there were many cartridge manufacturers, each producing a few million cartridges per year. All these companies manufacture either under their own brands or under distribution brands. The main one is the Solognac brand from the Décathlon sports stores.  </w:t>
        <w:br/>
        <w:t xml:space="preserve">11. The segment of metallic ammunition is occupied by the companies Remington, Winchester, Ruag, Sellier &amp; Bellot. These four companies represent about 80% of the market. The Ruag group, which markets notably under the brands Dynamit Nobel and Norma, has, without being dominant, a market share higher than that of its competitors.  </w:t>
        <w:br/>
        <w:t xml:space="preserve">12. The company Browning Winchester France was, until 1996, a subsidiary of the Belgian company FN Herstal, itself a subsidiary of the French public group Giat Industrie. In 1996, FN Herstal was sold by this group to the Walloon region. Browning Winchester France became a subsidiary of Browning International, and its corporate name changed in 1998 to Browning Sports France. From 2002, Browning International undertook a reorganization of its activities in France and Europe: marketing, general administration, and sales administration were centralized in Belgium. In France, accounting and customs clearance of products are outsourced, the sales force is externalized and entrusted, by an agency contract, to the company BWM (Bernard Walter Moriceau) France, EURL, whose manager is the former general director of Browning Sports France.  </w:t>
        <w:br/>
        <w:t xml:space="preserve">4. DISTRIBUTION  </w:t>
        <w:br/>
        <w:t>13. The Décathlon brand, through its network of 176 stores with a hunting section, held about 10% of the firearms market until its withdrawal from this market at the end</w:t>
      </w:r>
    </w:p>
    <w:p>
      <w:r>
        <w:rPr>
          <w:b/>
        </w:rPr>
        <w:t>[Pages 4–6]</w:t>
      </w:r>
    </w:p>
    <w:p>
      <w:r>
        <w:t xml:space="preserve">caractère d’une infraction continue, le Conseil peut examiner l’ensemble de la pratique, y compris les éléments antérieurs à la saisine.  </w:t>
        <w:br/>
        <w:t xml:space="preserve">29. En l’espèce, les pratiques en cause se sont poursuivies jusqu’en 2001, ce qui permet au Conseil d’examiner les faits relatifs à la période de 1997 à 2001.  </w:t>
        <w:br/>
        <w:t xml:space="preserve">B. SUR L’EXISTENCE D’UNE ACTION CONCERTÉE  </w:t>
        <w:br/>
        <w:t xml:space="preserve">30. L’existence d’une action concertée peut être établie par des éléments directs ou indirects. Dans le cas présent, les éléments de preuve recueillis montrent que Browning Sports France a mis en place un système de prix imposé à ses revendeurs, ce qui constitue une action concertée au sens des articles L. 420-1 du code de commerce et 81 du traité CE.  </w:t>
        <w:br/>
        <w:t xml:space="preserve">31. Les contrats de revendeur pilote signés par Browning Winchester France contiennent des clauses qui imposent aux revendeurs de respecter une politique tarifaire, ce qui démontre une volonté de contrôler les prix de revente. De plus, les témoignages des armuriers indiquent que Browning a exercé une pression sur eux pour qu’ils augmentent leurs prix de vente, ce qui constitue une preuve supplémentaire de l’existence d’une action concertée.  </w:t>
        <w:br/>
        <w:t xml:space="preserve">32. En outre, la diffusion de tarifs et la surveillance des prix par Browning France montrent une volonté de contrôler le marché et d’empêcher la libre concurrence. Les pratiques de coercition, telles que la rupture des relations avec des revendeurs pratiquant des prix inférieurs, renforcent cette conclusion.  </w:t>
        <w:br/>
        <w:t xml:space="preserve">C. SUR L’IMPACT SUR LA CONCURRENCE  </w:t>
        <w:br/>
        <w:t xml:space="preserve">33. Les pratiques de Browning Sports France ont eu pour effet d’empêcher, de restreindre ou de fausser le jeu de la concurrence sur le marché des armes à feu. En imposant des prix de revente minima, Browning a limité la capacité des revendeurs à pratiquer des prix compétitifs, ce qui a eu pour conséquence de maintenir des prix artificiellement élevés sur le marché.  </w:t>
        <w:br/>
        <w:t xml:space="preserve">34. De plus, la surveillance des prix et les mesures de coercition mises en place par Browning ont eu pour effet de dissuader les revendeurs de proposer des prix plus bas, ce qui a eu un impact négatif sur la concurrence et sur les consommateurs.  </w:t>
        <w:br/>
        <w:t xml:space="preserve">D. SUR LES SANCTIONS  </w:t>
        <w:br/>
        <w:t xml:space="preserve">35. En raison de la gravité des infractions constatées, le Conseil peut décider d’imposer des sanctions à Browning Sports France. Les sanctions peuvent inclure des amendes, des injonctions de cesser les pratiques anticoncurrentielles et des mesures correctives pour rétablir la concurrence sur le marché.  </w:t>
        <w:br/>
        <w:t xml:space="preserve">36. Le montant des amendes sera déterminé en fonction de la gravité des infractions, de la durée des pratiques anticoncurrentielles et de la position de marché de Browning Sports France.  </w:t>
        <w:br/>
        <w:t>37. Le Conseil se réserve le droit de prendre toutes les mesures nécessaires pour garantir le respect des règles de concurrence et protéger les intérêts des consommateurs.</w:t>
      </w:r>
    </w:p>
    <w:p>
      <w:r>
        <w:rPr>
          <w:b/>
        </w:rPr>
        <w:t>[Pages 7–9]</w:t>
      </w:r>
    </w:p>
    <w:p>
      <w:r>
        <w:t xml:space="preserve">character of a continuous practice, the Council can, within the framework of this referral, examine and qualify all the facts that characterize it.  </w:t>
        <w:br/>
        <w:t xml:space="preserve">29. In this case, the clause regarding compliance with the commercial policy, particularly concerning prices, was introduced in the pilot reseller contracts of Browning Winchester in 1997 and was subsequently replicated verbatim in the annual contracts signed between 1998 and 2001 inclusive, thereby reiterating the agreement of the parties. The contested practice was therefore continuous between January 1, 1997, and December 31, 2001, and the Council can examine the facts that occurred up to that last date.  </w:t>
        <w:br/>
        <w:t xml:space="preserve">B. ON THE APPLICATION OF COMMUNITY LAW  </w:t>
        <w:br/>
        <w:t xml:space="preserve">30. The company Browning Winchester argues that the conditions for the application of Article 81 of the EC Treaty concerning the effect on intra-Community trade are not met.  </w:t>
        <w:br/>
        <w:t xml:space="preserve">31. Article 3.2.3. of Communication No. 2004/C 101/107 from the Commission dated April 27, 2004, Guidelines on the concept of effect on trade as referred to in Articles 81 and 82 of the Treaty establishing the European Community, specifies: "… 88. Vertical agreements that cover the entirety of a Member State and concern marketable products may also affect trade between Member States even if they do not create direct obstacles to trade. Agreements under which companies commit to a resale price may sometimes directly affect trade between Member States by increasing imports from other Member States and reducing exports from the Member State in question… To the extent that the imposed price is higher than the price practiced in other Member States, this price level is defensible only if imports from other Member States can be controlled."  </w:t>
        <w:br/>
        <w:t xml:space="preserve">32. In this case, the French markets for arms and ammunition are the largest in the European Community, and the practice of imposed pricing concerns the entire national territory. The arms and ammunition marketed by Browning Winchester are predominantly imported from countries within the European Community, notably Belgium. Competitors also import their products from the European Community: from Italy (Beretta, Benelli), from Sweden (Dynamit Nobel), from Germany (Blaser, Mauser). The main buyers at the wholesale stage, such as the purchasing group Unifrance, the companies Kettner and Frankonia, or the company Décathlon, have an international dimension and make direct purchases abroad. Finally, Browning Winchester has acknowledged taking retaliatory measures against the company Briano due to parallel imports made by this company and disseminated this information to its wholesalers. Given these elements, the contested practice of imposed pricing is likely to significantly affect the trade of arms and ammunition between Member States.  </w:t>
        <w:br/>
        <w:t xml:space="preserve">C. ON THE GRIEVANCES  </w:t>
        <w:br/>
        <w:t xml:space="preserve">33. The company Browning Winchester argues that it follows from the statements of Mr. Z…, successor of Mr. A…, stating: "I do not know a gunsmith who follows the recommended prices, regardless of the brand," and from Mr. B…, according to whom "BW France disseminated recommended prices to try to make the profession aware that it should not continue to sell at a loss," that the practice of imposed pricing was not actually applied and that, in any case, the agreement of the distributors is not established.  </w:t>
        <w:br/>
        <w:t xml:space="preserve">34. The company Browning Winchester also argues the insufficiency of the elements presented in support of the notified grievances and their non-probative nature, particularly in the absence of price records allowing verification of the reality of the practice and measurement of its effects. It contends that the price comparisons made with the tariffs of the mail-order companies Kettner and Frankonia cannot be invoked since they are not distributors but wholesale buyers and did not sign the pilot reseller contract.  </w:t>
        <w:br/>
        <w:t xml:space="preserve">35. The stipulations of Article 7.2. of the pilot gunsmith contract and the annexes recalled above (paragraph 17), by which the pilot reseller commits to respect the commercial policy of its contracting party, particularly regarding pricing policy, and to refrain from any advertising focused on the possibility of acquiring Browning and Winchester products under conditions incompatible with the advisory and customer service obligations to which the pilot reseller is bound, express the manufacturer's (or supplier's) intention to control its distribution network by imposing a price on the pilot reseller. The statements made by the director of Browning France that the mention "pricing policy" in the contract meant "recommended prices" are contradicted by certain gunsmiths, including Messrs. C…, D…, and E…, who stated that they refused to sign a pilot reseller contract due to the restrictions placed on their commercial freedom, particularly regarding the setting of sale prices.  </w:t>
        <w:br/>
        <w:t xml:space="preserve">36. From 1997 to 2001, Browning Winchester France disseminated in its network selling price tariffs that did not bear the mention "maximum price" or "recommended price." It results from the investigation that the company's sales team conducted regular monitoring of the compliance of prices practiced by the distribution with those listed in these tariffs, and that means such as stock recovery, intimidation, and suspension of deliveries were employed against resellers who did not comply with the tariff prices.  </w:t>
        <w:br/>
        <w:t xml:space="preserve">37. The agreement of the members of the Browning Winchester distribution network results from the signing, reiterated each year for five years, of a pilot reseller contract. The practice of collusion is thus constituted, notwithstanding the circumstance that the two gunsmiths mentioned in point 33 above may not have adhered to the concerted practices, since due to this lack of adherence, they were subjected to intimidation measures. They are indeed on the list of the five resellers for whom Browning Winchester France indicated to its wholesale clients that it refused to deliver for "either direct import reasons or cut-rate prices."  </w:t>
        <w:br/>
        <w:t xml:space="preserve">38. The evidence of collusion is provided by the previously described actions which constitute, even in the absence of a comprehensive price record, a set of consistent indicators. The presentation, in the catalogs of the two main mail-order companies, of the Winchester and Browning ranges at very similar public prices, with only minimal differences, compared to the tariff prices of Browning Winchester constitutes, given the wide distribution of these catalogs which serve as a reference for individual buyers and resellers, an additional indicator.  </w:t>
        <w:br/>
        <w:t xml:space="preserve">39. Finally, Browning Sports France argues that the aforementioned measures of refusal to sell were taken primarily due to parallel imports made in violation of the principle of exhaustion of rights conferred by the trademark, or even in violation of legislation on the importation and sale of arms.  </w:t>
        <w:br/>
        <w:t xml:space="preserve">40. It was up to the company, if it believed that the resellers in question were making imports that harmed it, to seek redress from the competent courts. In any case, a refusal to sell directed at these gunsmiths could not dissuade them from making parallel imports; quite the contrary, it could prevent them from selling below the price set by the tariff.  </w:t>
        <w:br/>
        <w:t xml:space="preserve">41. It follows from the above that Browning Winchester France participated in a practice aimed at obstructing the setting of the price of its products by the free play of competition, a practice prohibited by the provisions of Articles 81 of the EC Treaty and L. 420-1 of the Commercial Code.  </w:t>
        <w:br/>
        <w:t xml:space="preserve">D. ON THE SANCTIONS  </w:t>
        <w:br/>
        <w:t xml:space="preserve">42. Under the provisions of Article L. 464-2 of the Commercial Code in its wording applicable at the date of the referral, the Competition Council: "may impose a monetary sanction applicable either immediately or in the event of non-compliance with the injunctions. Monetary sanctions are proportionate to the seriousness of the facts alleged, to the extent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realized in France during the last closed financial year…".  </w:t>
        <w:br/>
        <w:t xml:space="preserve">43. The use of the simplified procedure having been decided in accordance with Article L. 463-3 of the Commercial Code, it is necessary to apply Article L. 464-5 of the Code. This article, in its wording resulting from Law No. 2001-420 of May 15, 2001, provides that the monetary sanction may not exceed €750,000. However, Article 94 of Law No. 2001-420 of May 15, 2001, stipulates that the new provisions do not apply to cases for which a referral to the Council was made before the law came into force. Therefore, although this is a continuous practice that continued after the law came into force, the Council having been seized on September 2, 1998, the monetary sanction that may be imposed in the simplified procedure must not exceed 500,000 francs (€76,244.51) in accordance with Article 22 paragraph 2 of the ordinance of December 1, 1986 applicable at the date of the Council's referral.  </w:t>
        <w:br/>
        <w:t xml:space="preserve">44. The practice of establishing a collusion aimed at implementing a system of imposed prices in a market, particularly through the use of delays or suspensions of deliveries against those who do not comply with this price, is of particular seriousness. In this case, the effects on the market and on the economy have, however, been mitigated, on the one hand, by the competition among the various brands and manufacturers of arms and ammunition, and on the other hand, by the fact that resellers commonly offer discounts on arms in the form of accessories (case, sling), services (adjustment, compliance), or free products (ammunition).  </w:t>
        <w:br/>
        <w:t>45. Based on the general and individual elements as assessed above, it is appropriate to impose a monetary sanction of €75,000 on Browning Winchester France, whose turnover amounted to €15,278,750 in 2003.</w:t>
      </w:r>
    </w:p>
    <w:p>
      <w:r>
        <w:rPr>
          <w:b/>
        </w:rPr>
        <w:t>[Pages 10–10]</w:t>
      </w:r>
    </w:p>
    <w:p>
      <w:r>
        <w:t xml:space="preserve">DECISION  </w:t>
        <w:br/>
        <w:t xml:space="preserve">Article 1: It is established that the company Browning Winchester France has violated the provisions of Article 81 of the EC Treaty and Article L. 420-1 of the Commercial Code.  </w:t>
        <w:br/>
        <w:t xml:space="preserve">Article 2: A monetary penalty of €75,000 is imposed on the company Browning Winchester France.  </w:t>
        <w:br/>
        <w:t xml:space="preserve">Deliberated, on the report of Mr. Lerner, by Mrs. Aubert, Vice-President, presiding over the session, Ms. Behar-Touchais and Ms. Mader-Saussaye as well as Messrs. Piot and Ripotot, members.  </w:t>
        <w:br/>
        <w:t xml:space="preserve">The session secretary, The Vice-President,  </w:t>
        <w:br/>
        <w:t xml:space="preserve">Christine Charron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