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https://www.autoritedelaconcurrence.fr/fr/decision/relative-des-pratiques-relevees-dans-le-cadre-de-la-passation-des-marches-publics-de-la</w:t>
      </w:r>
    </w:p>
    <w:p>
      <w:r>
        <w:t>Pages translated : 9</w:t>
      </w:r>
    </w:p>
    <w:p/>
    <w:p>
      <w:r>
        <w:rPr>
          <w:b/>
        </w:rPr>
        <w:t>[Pages 1–3]</w:t>
      </w:r>
    </w:p>
    <w:p>
      <w:r>
        <w:t xml:space="preserve">Decision No. 02-D-29 of May 7, 2002  </w:t>
        <w:br/>
        <w:t xml:space="preserve">regarding practices identified in the context of the awarding of public contracts  </w:t>
        <w:br/>
        <w:t xml:space="preserve">for horizontal road signage in the Saône-et-Loire department  </w:t>
        <w:br/>
        <w:t xml:space="preserve">The Competition Council (section IV),  </w:t>
        <w:br/>
        <w:t xml:space="preserve">Having regard to the letter registered on February 13, 1998 under number F 1017, by which the Minister of Economy, Finance and Industry referred the Competition Council, based on Article L. 462-5 of the Commercial Code, a file relating to practices identified in the context of the awarding of public contracts for horizontal road signage in the Saône-et-Loire department;  </w:t>
        <w:br/>
        <w:t xml:space="preserve">Having regard to Book IV of the Commercial Code and Decree No. 86-1309 of December 29, 1986 as amended, setting the conditions for the application of the ordinance of December 1, 1986;  </w:t>
        <w:br/>
        <w:t xml:space="preserve">Having regard to the decision on business secrecy No. 00-DSA-06 of September 6, 2000;  </w:t>
        <w:br/>
        <w:t xml:space="preserve">Having regard to the other documents in the file;  </w:t>
        <w:br/>
        <w:t xml:space="preserve">Having regard to the observations presented by the companies Société d’Applications Routières, Prosign, and the Government Commissioner;  </w:t>
        <w:br/>
        <w:t xml:space="preserve">The rapporteur, the general rapporteur, and the Government Commissioner, the representatives of the companies Société d’Applications Routières, Prosign, heard during the session of March 13, 2002;  </w:t>
        <w:br/>
        <w:t xml:space="preserve">Adopts the following decision:  </w:t>
        <w:br/>
        <w:t xml:space="preserve">I. - Findings  </w:t>
        <w:br/>
        <w:t xml:space="preserve">A. - SECTOR OF ACTIVITY  </w:t>
        <w:br/>
        <w:t xml:space="preserve">Generalities  </w:t>
        <w:br/>
        <w:t xml:space="preserve">Horizontal road signage consists of the application, on motor vehicle traffic lanes, of markings intended to materialize, through recognized symbols, the prescriptions resulting from the Highway Code and to channel traffic flows. Its essential purpose is also to ensure the safety of traffic.  </w:t>
        <w:br/>
        <w:t xml:space="preserve">Road marking operations are carried out using specific products (paints, hot or cold coatings, prefabricated strips) and machines appropriate for each type of product used. The acquisition of these machines constitutes the main investment expense for any company applying marking products.  </w:t>
        <w:br/>
        <w:t xml:space="preserve">All products intended for road marking must be approved. This procedure aims to select only products that present a minimum level of quality and to eliminate from the market products whose performance is deemed insufficient.  </w:t>
        <w:br/>
        <w:t xml:space="preserve">Approval is granted by the Central Laboratory of Bridges and Roads and by the Association for the Qualification of Road Equipment (ASQUER) based on a set of approval modalities defined by various ministerial decrees.  </w:t>
        <w:br/>
        <w:t xml:space="preserve">The contracting authority is the responsibility of the various public entities, depending on the classification of the road to be treated: State (or, where applicable, the highway concession company), department, urban community, municipality. The departmental directorates of equipment may ensure project management of the works.  </w:t>
        <w:br/>
        <w:t xml:space="preserve">The execution of the works occurs according to two modalities:  </w:t>
        <w:br/>
        <w:t xml:space="preserve">either the contracting authority decides to entrust the marking works to a company to which it simultaneously purchases the products to be applied;  </w:t>
        <w:br/>
        <w:t xml:space="preserve">or the contracting authority has the works carried out by its own services which purchase the products to be applied from manufacturers.  </w:t>
        <w:br/>
        <w:t xml:space="preserve">Companies specialized in road marking mostly belong to the Syndicate of Road Equipment (SER). They are grouped in the "horizontal signage" section.  </w:t>
        <w:br/>
        <w:t xml:space="preserve">These companies are traditionally classified into three categories.  </w:t>
        <w:br/>
        <w:t xml:space="preserve">Some of them only resell their manufactured products, paints, coatings, etc., to applicators. They only exceptionally participate in works contracts.  </w:t>
        <w:br/>
        <w:t xml:space="preserve">Other companies participate in public works contracts while selling products of their manufacture to other applicators. This category includes the largest companies in the sector, notably Société d’Applications Routières (S.A.R.) and Prosign.  </w:t>
        <w:br/>
        <w:t xml:space="preserve">Finally, a few companies, of more modest size, limit their activity to a few departments and restrict their intervention to participation in public works contracts. Not integrated, they are closely dependent, for their supplies, on manufacturers who are frequently their competitors in the application markets.  </w:t>
        <w:br/>
        <w:t xml:space="preserve">The companies involved  </w:t>
        <w:br/>
        <w:t xml:space="preserve">Société d’Applications Routières (S.A.R.)  </w:t>
        <w:br/>
        <w:t xml:space="preserve">At the time of the facts, S.A.R., established in 1966, was one of the subsidiaries of the holding Lafarge Nouveaux Matériaux, created in 1986. In 1991, this holding grouped more than thirty subsidiaries. The group had thirty-five production units, fourteen of which were outside France, as well as eighteen research laboratories. Recently, it became a subsidiary of Compagnie Signature.  </w:t>
        <w:br/>
        <w:t xml:space="preserve">S.A.R. is a simplified joint-stock company with a capital of 6,196,800 F, with its registered office located at 44, rue Sadi Carnot in Aubervilliers, Seine-Saint-Denis. The company is organized, on national territory, into nine regions, each regional entity having several agencies. It operates in four sectors: marking products, road equipment, application materials, and urban furniture. As the leading European company in road signage, S.A.R. achieved, during the fiscal years 1991, 1992, and 1993, pre-tax revenues of 357 MF, 354.2 MF, and 379.8 MF.  </w:t>
        <w:br/>
        <w:t xml:space="preserve">S.A.R. has three subsidiaries: Euroliners, the second largest European manufacturer of marking equipment, Slapis (Société lyonnaise d’applications de peintures industrielles et de signalisation), specialized in horizontal and vertical signage sectors, as well as Signal, also specialized in the field of horizontal road signage.  </w:t>
        <w:br/>
        <w:t xml:space="preserve">The paint products are manufactured by the company Kiffer and Hamaide, located in Agnetz in the Oise and which is part of the Lafarge Cement group.  </w:t>
        <w:br/>
        <w:t xml:space="preserve">The company Prosign  </w:t>
        <w:br/>
        <w:t xml:space="preserve">Prosign is a public limited company with a capital of 11,000,000 F. It began its operations in 1952, under the name Prismo France, which became Greggory in 1972. It is now part of the Jarvis PLC group. It has fourteen secondary establishments, six regional offices, and twenty-five local agencies. The regional offices enjoy total commercial autonomy.  </w:t>
        <w:br/>
        <w:t xml:space="preserve">The company manufactures application materials and road signage products (paints and panels), implements the products, and engages in the research of new products and more efficient materials. This last activity represents about 3% of its revenue. For the fiscal years 1992, 1993, and 1994, Prosign achieved pre-tax revenues of 265.3 MF, 276.8 MF, and 276.3 MF.  </w:t>
        <w:br/>
        <w:t>B. - THE FACTS</w:t>
      </w:r>
    </w:p>
    <w:p>
      <w:r>
        <w:rPr>
          <w:b/>
        </w:rPr>
        <w:t>[Pages 4–6]</w:t>
      </w:r>
    </w:p>
    <w:p>
      <w:r>
        <w:t xml:space="preserve">companies Société d’Applications Routières (S.A.R.), S.A.R. Rhône-Alpes, Prosign, and Prosign-Est, based on Article L.420-1 of the Commercial Code.  </w:t>
        <w:br/>
        <w:t>At the stage of the final report, a proposal for non-suit to continue the procedure was notified to the companies.</w:t>
      </w:r>
    </w:p>
    <w:p>
      <w:r>
        <w:rPr>
          <w:b/>
        </w:rPr>
        <w:t>[Pages 7–9]</w:t>
      </w:r>
    </w:p>
    <w:p>
      <w:r>
        <w:t xml:space="preserve">same companies.  </w:t>
        <w:br/>
        <w:t xml:space="preserve">II. – Based on the preceding findings, the council,  </w:t>
        <w:br/>
        <w:t xml:space="preserve">Considering that it is recalled that the only legal entities that have a legal existence, among the recipients of the notification of grievances, are the companies S.A.R. and Prosign, and without it being necessary to rule on the procedural arguments raised by the companies concerned regarding the acquisition of the statute of limitations for facts prior to August 30, 1990, or the impossibility of relying on facts unrelated to the collusive practices that are the subject of the grievance, that pursuant to Article L.464-6 of the Commercial Code, "when no practice likely to harm competition in the market is established, the Competition Council may decide, after the author of the referral and the Government Commissioner have been able to consult the file and make their observations known, that there is no need to continue the procedure";  </w:t>
        <w:br/>
        <w:t xml:space="preserve">Considering that the companies S.A.R. and Prosign argue, first of all, that the stability of the awardees of the contracts is not, in itself, a sufficient indicator to establish a collusion and that the renewal of contracts to the same companies only reflects a parallelism of behavior;  </w:t>
        <w:br/>
        <w:t xml:space="preserve">Considering that these companies also explain that despite their national dimension and the resources they had, they were not able to systematically bid for all the works contracts with an obligation of result from 1990 and 1992 due to the technical innovations specific to this type of contract, which involves high investments and heavy logistics to implement that their regional management could not assume at the time; that the human, financial, and technical resources they needed could only be gathered for the 1995 contracts, which then allowed them to bid simultaneously for the two lots, southwest and northeast, of the department;  </w:t>
        <w:br/>
        <w:t xml:space="preserve">Considering that, regarding the evolution of unit prices of the contracts, the company Prosign argues that "there is no doubt that the initial construction of the price in 1989, when the first works contract with an obligation of result was experimented, strongly constrained the subsequent price developments of the successive contracts"; that these reasons explain the very close prices proposed by the companies S.A.R. and Prosign for the two contracts of 1992 and 1995;  </w:t>
        <w:br/>
        <w:t xml:space="preserve">Considering that the companies S.A.R. and Prosign further state that the meeting on February 12, 1991, which took place between the representative of the Departmental Equipment Service and the representatives of the companies S.A.R. and Prosign, at the initiative of the General Council, aimed to take stock of the execution conditions of the contracts of 1989 and 1990; that this meeting cannot, however, constitute a convincing indicator of the existence of a collusion between the companies, even if the information provided by the representative of the administration could give them an advantage over their future competitors; that the company Prosign also emphasizes that, regarding the unit price of the new item "special markings in urban areas" introduced in the 1992 contract, its representative stated, during the aforementioned meeting, that "he would not comment and would study the proposal as closely as possible"; that, for its part, S.A.R. observes that, given the announcement made by the representative of the administration of the maximum unit price not to be exceeded, "it is naturally explainable" that the company Prosign itself proposed an identical unit price for this item;  </w:t>
        <w:br/>
        <w:t xml:space="preserve">Considering that, regarding the 1995 contract, the companies S.A.R. and Prosign specify that the unit price of 83.40 F for the item "special markings in urban areas" was determined by applying the adjustment coefficient set in the CCAP of the 1992 call for tenders, which explains the identical price in the responses of the companies S.A.R. and Prosign;  </w:t>
        <w:br/>
        <w:t xml:space="preserve">Considering that the company Prosign further argues that "if there is a relationship between the unit prices practiced for the marking of two-lane roads and the unit prices practiced for the marking of three-lane roads, this relationship is not arithmetic, it is not necessarily identical according to the companies and it can vary depending on operational conditions"; that thus, the price for marking three-lane roads, due to the sharing of the middle lane between the two directions of traffic, includes special markings (merging arrows, various arrows, "zebras"), which are much rarer on two-lane roads and can represent alone half of the unit price of the marking per kilometer, given the necessity to use specific equipment different from the trucks used for linear markings;  </w:t>
        <w:br/>
        <w:t xml:space="preserve">Considering that the company Prosign also observes, relying on the ratio between the marking price in the axis and edges of three-lane roads and the marking price in the axis and edges of two-lane roads, that if the unit prices for the item "markings in axis and edges on two-lane roads" and the item "markings in axis and edges on three-lane roads" of the Saône-et-Loire contracts of 1995 had followed the same evolution as the unit prices of the identical items from the Meurthe-et-Moselle contract of 1996, Prosign-Est would have had to increase the item "markings in axis and edges on three-lane roads" by 17%; that in any case, such an increase would not have changed the overall balance of the 1995 contracts between the companies S.A.R. and Prosign;  </w:t>
        <w:br/>
        <w:t xml:space="preserve">Considering that S.A.R. notes, for its part, that for the 1995 contract, "there is undoubtedly a gap between the respective offers of S.A.R. and Prosign" while "the coverage offers are characterized rather by significant gaps compared to the offer they are supposed to cover";  </w:t>
        <w:br/>
        <w:t xml:space="preserve">Considering that there are no elements in the file that can effectively contradict the defense arguments of the companies S.A.R. and Prosign; that these companies provide plausible explanations for the reasons that led them to bid only on the sector they were awarded in 1992 and then to bid simultaneously on both sectors of the 1995 contracts; that while the existence of stability in the awarding of lots can, in some cases, find its explanation in a market distribution and while the identity of the prices proposed, for certain services, by several bidders can, in certain circumstances, also suggest the existence of an exchange of information prior to the submission of bids, such indicators are insufficient on their own to establish the reality of anti-competitive practices; that furthermore, the identity of certain prices, in this case, can find an explanation, in particular, in the meeting of February 12, 1991, which took place between a representative of the contracting authority and the two companies involved; that, therefore, it is not established that the companies S.A.R. and Prosign colluded before the submission of their bids to divide the contracts for horizontal road signage in the Saône-et-Loire department and that it is consequently appropriate to apply the aforementioned provisions of Article L. 464-6 of the Commercial Code;  </w:t>
        <w:br/>
        <w:t xml:space="preserve">DECIDES  </w:t>
        <w:br/>
        <w:t xml:space="preserve">Single Article – There is no need to continue the procedure.  </w:t>
        <w:br/>
        <w:t xml:space="preserve">Deliberated on the oral report of Ms. Bergaentzlé, by Ms. Pasturel, Vice-President, presiding over the session, Messrs. Ripotot, Gauron, and Piot, members.  </w:t>
        <w:br/>
        <w:t xml:space="preserve">The session secretary, The Vice-President, presiding over the session  </w:t>
        <w:br/>
        <w:t xml:space="preserve">Françoise Hazäel-Massieux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