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https://www.autoritedelaconcurrence.fr/fr/decision/relative-des-pratiques-relevees-dans-le-reseau-de-franchise-jean-louis-david-diffusion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94-D-07 of January 25, 1994.  </w:t>
        <w:br/>
        <w:t xml:space="preserve">concerning practices observed in the Jean Louis David Diffusion franchise network in the hairdressing sector.  </w:t>
        <w:br/>
        <w:t xml:space="preserve">The Competition Council (Section I),  </w:t>
        <w:br/>
        <w:t xml:space="preserve">Having regard to the letter registered on September 5, 1990, under number F 347, by which the Minister of State, Minister of Economy, Finance, and Budget, referred to the Competition Council practices observed in the Jean Louis David Diffusion franchise network in the hairdressing sector;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it is appropriate to suspend the ruling in order to proceed with additional investigation,  </w:t>
        <w:br/>
        <w:t xml:space="preserve">Decides:  </w:t>
        <w:br/>
        <w:t xml:space="preserve">Sole Article. - The ruling on referral F 347 is suspended.  </w:t>
        <w:br/>
        <w:t xml:space="preserve">Adopted on the oral report of Ms. Marion Ces by Mr. Cortesse, Vice-President, presiding over the session, Mr. Callu, Ms. Hagelsteen, Messrs. Marleix, Rocca, Sloan, and Thiolon, members.  </w:t>
        <w:br/>
        <w:t xml:space="preserve">The substitute general rapporteur The Vice-President, presiding over the session  </w:t>
        <w:br/>
        <w:t xml:space="preserve">Marie Picard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