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https://www.autoritedelaconcurrence.fr/fr/decision/relative-des-pratiques-relevees-dans-le-secteur-de-la-distribution-des-produits-0</w:t>
      </w:r>
    </w:p>
    <w:p>
      <w:r>
        <w:t>Pages translated : 3</w:t>
      </w:r>
    </w:p>
    <w:p/>
    <w:p>
      <w:r>
        <w:rPr>
          <w:b/>
        </w:rPr>
        <w:t>[Pages 1–3]</w:t>
      </w:r>
    </w:p>
    <w:p>
      <w:r>
        <w:t xml:space="preserve">FRENCH REPUBLIC  </w:t>
        <w:br/>
        <w:t xml:space="preserve">Decision No. 90-D-01 of January 9, 1990  </w:t>
        <w:br/>
        <w:t xml:space="preserve">regarding practices identified in the sector of dietary product distribution  </w:t>
        <w:br/>
        <w:t xml:space="preserve">The Competition Council,  </w:t>
        <w:br/>
        <w:t xml:space="preserve">Having regard to the letter registered on September 23, 1988, under number F 185, by which the Minister of State, Minister of Economy, Finance and Budget, referred to the Competition Council practices identified in the sector of dietary product distribution;  </w:t>
        <w:br/>
        <w:t xml:space="preserve">Having regard to Ordinances No. 45-1483 and No. 45-1484 of June 30, 1945, as amended, respectively relating to prices and the identification, prosecution, and repression of violations of economic legislation;  </w:t>
        <w:br/>
        <w:t xml:space="preserve">Having regard to Ordinance No. 86-1243 of December 1, 1986, as amended, relating to the freedom of prices and competition, together with Decree No. 86-1309 of December 29, 1986, as amended, taken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Retains the findings (I) and adopts the decision (II) set out below:  </w:t>
        <w:br/>
        <w:t xml:space="preserve">I. - Findings  </w:t>
        <w:br/>
        <w:t xml:space="preserve">1. Characteristics of the market  </w:t>
        <w:br/>
        <w:t>The distribution of dietary products, at the retail stage, occurs through three main channels: large and medium-sized retail outlets, specialized stores, and pharmacies, which represent 55%, 35%, and 10% of the market, respectively.</w:t>
      </w:r>
    </w:p>
    <w:p>
      <w:r>
        <w:t xml:space="preserve">The market share of large and medium-sized retail outlets has continuously increased to the detriment of other distributors, notably pharmacies, which in 1970 sold 50% of dietary products.  </w:t>
        <w:br/>
        <w:t xml:space="preserve">Approximately 2,000 in number, specialized stores include, in addition to franchise and branch stores, 1,200 independent stores, known as "régimiers." Of these, 30% are grouped within the National Union of Specialized Retailers in Dietetics, Natural and Diet Products (Unadiet).  </w:t>
        <w:br/>
        <w:t xml:space="preserve">Although their market share is declining in relative value, specialized retailers see their turnover increase because the quality and variety of their supply, as well as their technical expertise, continue to attract a specific clientele, more sensitive to the information provided than to the level of prices.  </w:t>
        <w:br/>
        <w:t xml:space="preserve">2. Practices  </w:t>
        <w:br/>
        <w:t xml:space="preserve">The investigation, which covered the entire sector of dietary products for adults, established that the Unadiet union had published, in 1981 and 1982, a list of commercial margin rates relating to thirty families of products, mostly food products.  </w:t>
        <w:br/>
        <w:t xml:space="preserve">The dissemination of this list during the prescribed period did not continue thereafter. Regarding the non-prescribed period, the investigations carried out show that retailers mostly determine their margins based on variable economic parameters, including product nature, advisory service, competition from large retail outlets, and that the margins previously disseminated by the union, in the rare cases where they are mentioned, are considered as one piece of information among others.  </w:t>
        <w:br/>
        <w:t xml:space="preserve">II. - In light of the preceding findings, the Competition Council  </w:t>
        <w:br/>
        <w:t xml:space="preserve">Considering that under Article 27 of the aforementioned ordinance of December 1, 1986, "the council cannot be seized of facts dating back more than three years if no act has been taken to investigate, establish, or sanction them"; that in this case, the limitation was interrupted by the report of April 30, 1987; that, consequently, the facts prior to April 30, 1984, cannot be qualified by the council;  </w:t>
        <w:br/>
        <w:t xml:space="preserve">Considering, on the one hand, that the document entitled "usual margins of the profession" was disseminated by the Unadiet union during the prescribed period; that no grievance can be retained against this union in this regard;  </w:t>
        <w:br/>
        <w:t xml:space="preserve">Considering, on the other hand, that while it is the council's responsibility to investigate whether anti-competitive practices occurred during the non-prescribed period, it results, in this case, from the investigation that Unadiet did not proceed to disseminate "margins" after 1982 and that professionals determine their margins based on objectives that are their own; that, under these conditions, the existence of practices contrary to the ordinances of 1945 and 1986 is not established,  </w:t>
        <w:br/>
        <w:t xml:space="preserve">Decides:  </w:t>
        <w:br/>
        <w:t xml:space="preserve">Sole Article. - There is no need to continue the procedure.  </w:t>
        <w:br/>
        <w:t xml:space="preserve">Deliberated in section, on the report of Ms. Penichon, in its session of January 9, 1990, where were present:  </w:t>
        <w:br/>
        <w:t xml:space="preserve">Mr. Laurent, president;  </w:t>
        <w:br/>
        <w:t xml:space="preserve">Messrs. Béteille and Pineau, vice-presidents;  </w:t>
        <w:br/>
        <w:t xml:space="preserve">Messrs. Azema, Flecheux, Schmidt, Urbain, members.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