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https://www.autoritedelaconcurrence.fr/fr/decision/relative-des-pratiques-relevees-dans-le-secteur-de-la-distribution-des-produits-doptique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 184  </w:t>
        <w:br/>
        <w:t xml:space="preserve">COMPETITION COUNCIL  </w:t>
        <w:br/>
        <w:t xml:space="preserve">Decision No. 97-D-94 of December 16, 1997  </w:t>
        <w:br/>
        <w:t>concerning practices observed in the distribution sector of medical optical products</w:t>
      </w:r>
    </w:p>
    <w:p>
      <w:r>
        <w:t>The Competition Council (standing committee),</w:t>
      </w:r>
    </w:p>
    <w:p>
      <w:r>
        <w:t>Having regard to the letter registered on September 23, 1988, under number F 184, by which the Minister of State, Minister of Economy, Finance, and Budget referred to the Competition Council practices implemented in the distribution sector of medical optical products;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Minister of Economy, Finance, and Industry registered on November 17, 1997;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letter registered on November 17, 1997, the Minister of Economy, Finance, and Industry declared to withdraw his referral,</w:t>
      </w:r>
    </w:p>
    <w:p>
      <w:r>
        <w:t xml:space="preserve">Decides:  </w:t>
        <w:br/>
        <w:t xml:space="preserve">Single Article:  </w:t>
        <w:br/>
        <w:t xml:space="preserve">The file registered under number F 184 is closed.  </w:t>
        <w:br/>
        <w:t xml:space="preserve">Deliberated, on the oral report of Mr. Albertini, designated in replacement of Ms. Madeleine Guidoni, prevented, by Mr. Barbeau, President, 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