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https://www.autoritedelaconcurrence.fr/fr/decision/relative-des-pratiques-relevees-dans-le-secteur-de-la-location-de-vehicules-sans-chauffeur</w:t>
      </w:r>
    </w:p>
    <w:p>
      <w:r>
        <w:t>Pages translated : 3</w:t>
      </w:r>
    </w:p>
    <w:p/>
    <w:p>
      <w:r>
        <w:rPr>
          <w:b/>
        </w:rPr>
        <w:t>[Pages 1–3]</w:t>
      </w:r>
    </w:p>
    <w:p>
      <w:r>
        <w:t xml:space="preserve">FRENCH REPUBLIC  </w:t>
        <w:br/>
        <w:t xml:space="preserve">Decision No. 02-D-73 of December 10, 2002  </w:t>
        <w:br/>
        <w:t xml:space="preserve">regarding practices identified in the car rental sector without a driver at St Denis-Gillot airport (Réunion)  </w:t>
        <w:br/>
        <w:t xml:space="preserve">The Competition Council (permanent commission),  </w:t>
        <w:br/>
        <w:t xml:space="preserve">Having regard to the letter registered on July 4, 2002 under number 02/0064 F by which the company Garcia Autos referred to the Competition Council regarding practices identified in the car rental sector without a driver at St Denis-Gillot airport (Réunion);  </w:t>
        <w:br/>
        <w:t xml:space="preserve">Having regard to the letter registered on October 1, 2002 under number 02/0089 F by which the company ITC Tropicar referred to the Competition Council regarding identical practices;  </w:t>
        <w:br/>
        <w:t xml:space="preserve">Having regard to the decision of joinder of October 3, 2002;  </w:t>
        <w:br/>
        <w:t xml:space="preserve">Having regard to Book IV of the Commercial Code relating to price and competition freedom, as well as Decree No. 2002-689 of April 30, 2002 setting its conditions of application;  </w:t>
        <w:br/>
        <w:t xml:space="preserve">Having regard to the interministerial order of December 17, 1971 granting "public equipment concession for the development and commercial operation of St Denis-Gillot airport" to the Chamber of Commerce and Industry of Réunion;  </w:t>
        <w:br/>
        <w:t xml:space="preserve">Having regard to the other documents in the file;  </w:t>
        <w:br/>
        <w:t xml:space="preserve">The reporting judge, the deputy general reporter, the Government Commissioner, the representatives of the companies Garcia Autos and ITC Tropicar heard during the session of October 29, 2002;  </w:t>
        <w:br/>
        <w:t>1. Considering that within the framework of its concession contract for the development and operation of St Denis Gillot airport, the Chamber of Commerce and Industry of Réunion (CCIR) has granted temporary occupation authorizations of the public airport domain, concerning ten locations intended for car rental companies without a driver; that Sarl Garcia Autos and Sarl ITC Tropicar, which are not among the beneficiaries, are located on the outskirts of the airport;</w:t>
      </w:r>
    </w:p>
    <w:p>
      <w:r>
        <w:t xml:space="preserve">2. Considering that the applicants argue that the CCIR prohibits them from accessing the car rental market without a driver for users of St Denis-Gillot airport; that the CCIR prohibits them from engaging in the following activities within the aerodrome perimeter: welcoming and dropping off clients by shuttle, signing rental contracts, delivering and retrieving vehicles; that it also refuses them the installation, within the considered perimeter, of signage indicating the location of the shuttles;  </w:t>
        <w:br/>
        <w:t xml:space="preserve">3. Considering that paragraph 1 of Article L. 462-8 of the Commercial Code states that the Council may declare the referral inadmissible, "(...) if it considers that the alleged facts do not fall within its jurisdiction";  </w:t>
        <w:br/>
        <w:t xml:space="preserve">4. Considering, on the one hand, that the conflict tribunal, in a ruling ADP of October 18, 1999, held that "if public entities can be sanctioned by the Competition Council acting under the control of the judiciary for activities of production, distribution, or services, the decisions by which these entities carry out their public service mission using public power prerogatives fall within the jurisdiction of the administrative court to assess their legality and, if necessary, to rule on the liability incurred by these public entities"; that the decisions of Aéroports de Paris "related to the management of the public domain constitute the exercise of public power prerogatives" and that the practices of Aéroports de Paris, which are inseparable from it, fall solely within the jurisdiction of the administrative court;  </w:t>
        <w:br/>
        <w:t xml:space="preserve">5. Considering, thus, that the decisions by which the CCIR allocated, within the framework of temporary occupation authorization agreements of the public domain, locations intended for car rental companies without a driver within the airport perimeter, relate to the management of the public domain, implement public power prerogatives, and fall under the exclusive assessment of the administrative court;  </w:t>
        <w:br/>
        <w:t xml:space="preserve">6. Considering, on the other hand, that a prefectural order of July 28, 1995 setting the police measures applicable at St Denis-Gillot aerodrome states "that no industrial, commercial, or artisanal activity may be carried out within the aerodrome without a special authorization issued by the aerodrome manager and which may give rise to the payment of a fee";  </w:t>
        <w:br/>
        <w:t xml:space="preserve">7. Considering that the power recognized by the prefectural order of July 28, 1995 to the CCIR, as the airport manager, to authorize the exercise of any industrial, commercial, and artisanal activity within the aerodrome perimeter, constitutes the exercise of a public power prerogative exercised within the framework of the public service mission of development and management of the commercial operation of St Denis-Gillot airport entrusted to it by the ministerial order of December 17, 1971;  </w:t>
        <w:br/>
        <w:t xml:space="preserve">8. Considering, thus, that the decisions by which, according to the applicants, the CCIR would prohibit them from accessing the car rental market without a driver and the possibility of engaging in a number of commercial activities within the airport perimeter, including by refusing the installation of signage within the airport, fall within the jurisdiction of the administrative court;  </w:t>
        <w:br/>
        <w:t>9. Considering that it follows from the above that it is necessary to apply the provisions of Article L. 462-8 of the Commercial Code, cited above, by declaring the referral inadmissible due to the incompetence of the Competition Council;</w:t>
      </w:r>
    </w:p>
    <w:p>
      <w:r>
        <w:t xml:space="preserve">DECIDES  </w:t>
        <w:br/>
        <w:t xml:space="preserve">Sole Article: The referrals registered under numbers 02/0064 F and 02/0089 F are declared inadmissible.  </w:t>
        <w:br/>
        <w:t xml:space="preserve">Deliberated on the oral report of Ms. Joly, by Ms. Hagelsteen, president, Ms. Pasturel, vice-president, Mr. Jenny, vice-president.  </w:t>
        <w:b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