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https://www.autoritedelaconcurrence.fr/fr/decision/relative-des-pratiques-relevees-dans-le-secteur-de-la-reparation-automobile-dans-les</w:t>
      </w:r>
    </w:p>
    <w:p>
      <w:r>
        <w:t>Pages translated : 6</w:t>
      </w:r>
    </w:p>
    <w:p/>
    <w:p>
      <w:r>
        <w:rPr>
          <w:b/>
        </w:rPr>
        <w:t>[Pages 1–3]</w:t>
      </w:r>
    </w:p>
    <w:p>
      <w:r>
        <w:t xml:space="preserve">COUNCIL OF COMPETITION  </w:t>
        <w:br/>
        <w:t xml:space="preserve">Decision No. 97 D 70  </w:t>
        <w:br/>
        <w:t xml:space="preserve">of September 30, 1997  </w:t>
        <w:br/>
        <w:t xml:space="preserve">regarding practices identified in the automotive repair sector  </w:t>
        <w:br/>
        <w:t>in the departments of Nord, Pas de Calais, and Somme</w:t>
      </w:r>
    </w:p>
    <w:p>
      <w:r>
        <w:t xml:space="preserve">The Council of Competition (permanent commission),  </w:t>
        <w:br/>
        <w:t xml:space="preserve">Having regard to the letter registered on June 17, 1992, under number F 514, by which the Minister of Economy and Finance referred to the Council of Competition practices identified in the automotive body repair sector in Nord Pas de Calais;  </w:t>
        <w:br/>
        <w:t xml:space="preserve">Having regard to ordinance No. 86 1243 of December 1, 1986, as amended, relating to the freedom of prices and competition and decree No. 86 1309 of December 29, as amended, taken for its application;  </w:t>
        <w:br/>
        <w:t xml:space="preserve">Having regard to the observations presented by the companies Carrosserie Copin, Carrosserie Saint Christian, Carrosserie Dupont père et fils, Carrosserie Delaby, Tiron, Socamat, Carrosserie Mathey, Carrosserie Dieryck, TCA carrosserie, Ducoulombier, Carrosserie Delattre, Legrand Margez, Carrosserie Leman, Carrosserie P Mory, Carrosserie Villaeys, Carrosseries basséennes, Carrosserie Martinet, Garage Degardin, Cetab, Carrosserie Delgrange, Pierre Pardoën, by the National Council of Automotive Professionals (CNPA), by the National Group of Repair Body Shops (GNCR), by the National Federation of Automotive Craftsmanship (FNA), and by the Government Commissioner;  </w:t>
        <w:br/>
        <w:t xml:space="preserve">Having regard to the other documents in the file;  </w:t>
        <w:br/>
        <w:t xml:space="preserve">The rapporteur, the general rapporteur, the Government Commissioner, the representatives of the CNPA, the GNCR, the FNA, the companies TCA, Carrosserie Dune, Legrand Margez, Carrosserie Delattre, Ducoulombier, Dieryck, Carrosserie Leman, Carrosserie P Mory, Carrosserie Saint Christian, Carrosseries basséennes, and Carrosserie Delgrange heard, the companies Carrosserie Copin, Carrosserie Dupont père et fils, Carrosserie Delaby, Carrosserie Thérasse, Tiron, Socamat, Carrosserie Mathey, Carrosserie Villaeys, Carrosserie Martinet, Garage Degardin, Cetab, Pierre Pardoën having been regularly summoned;  </w:t>
        <w:br/>
        <w:t>Adopts the decision based on the findings (I) and the reasons (II) set forth below:</w:t>
      </w:r>
    </w:p>
    <w:p>
      <w:r>
        <w:t xml:space="preserve">I. Findings  </w:t>
        <w:br/>
        <w:t xml:space="preserve">A. - THE SECTOR  </w:t>
        <w:br/>
        <w:t>The turnover of the automotive body repair sector was estimated in 1990 at 9.16 billion francs. The number of establishments specialized in bodywork was then 7,400 in France, including approximately 250 in the three departments subject to the administrative investigation, Nord, Pas de Calais, and Somme. The vast majority of companies are small in size, and competition takes place in a set of geographically limited markets, as damaged vehicles are generally repaired on site. Three representative trade union organizations of professionals are present in the departments of Nord, Pas de Calais, and Somme: the National Council of Automotive Professionals (CNPA), the National Group of Repair Body Shops (GNCR), and the National Federation of Trade and Craftsmanship (FNCAA). The FNCAA, which became the National Federation of Automotive Craftsmanship (FNA), includes the following organizations: in Nord, the Chamber of Artisan Motor Mechanics, in Pas de Calais, the Union of Automotive Artisans, and in Somme, the Professional Chamber of Automotive Trades. The services related to automotive body repair correspond, for a very significant part of this activity, to operations of restoration after damage. Insurance companies are therefore the main partners of body shops. A system of approval contractually fixes the rates applied for repairs with the approved body shops.</w:t>
      </w:r>
    </w:p>
    <w:p>
      <w:r>
        <w:t xml:space="preserve">B. - THE IDENTIFIED PRACTICES  </w:t>
        <w:br/>
        <w:t>An administrative investigation into the automotive body repair sector conducted in the departments of Somme, Nord, and Pas de Calais at the end of 1990 and the beginning of 1991 revealed that during meetings organized by professional unions, increases in hourly labor rates were recommended, that an article on the calculation of the cost price of painting work was published in the magazine "L'officiel de l'automobile," and that three professional organizations coordinated to adopt a specific hourly rate for painting work.</w:t>
      </w:r>
    </w:p>
    <w:p>
      <w:r>
        <w:t xml:space="preserve">1. The pricing recommendations  </w:t>
        <w:br/>
        <w:t>From statements by certain professionals, it appears that during a meeting organized by the CNPA at the end of 1990, a 5% increase in hourly labor rates for 1991 was recommended. Furthermore, during the meeting organized by the GNCR on December 19, 1990, in Lille, a 4% increase was recommended. Several companies represented at this meeting subsequently applied this increase. Finally, on January 15, 1991, during a meeting organized by the FNCAA, an increase of 5 to 7% was recommended.</w:t>
      </w:r>
    </w:p>
    <w:p>
      <w:r>
        <w:t xml:space="preserve">2. The dissemination of an article on the cost price of painting work  </w:t>
        <w:br/>
        <w:t>An article on the cost price of painting work and products was published in the May 1991 issue of the magazine "L'officiel de l'automobile." The first part of this article includes the following paragraph: "Guy Martin estimates that the 'actual average cost of 3 hours of painting is around 270 F, excluding products and supplies.' This base cost, calculated without taking into account the company's overheads, also includes no salary for the executives and, of course, no profit... this breakdown allows for a closer approximation of the actual cost of the painting department and constitutes a calculation basis." Mr. Guy Martin was, at the time of the events, chairman of the "equipment" commission of the Groupement des industries annexes à la carrosserie, a component of the Fédération française de la carrosserie. The second part of this article presents a study on "the hourly price of painting products and ingredients" and contains tables of cost prices excluding tax and margin for the ingredients and painting products.</w:t>
      </w:r>
    </w:p>
    <w:p>
      <w:r>
        <w:t xml:space="preserve">3. The agreement on a specific hourly rate for painting work  </w:t>
        <w:br/>
        <w:t>In its periodic bulletin "Le carrossier automobile" of February 1991, the CNPA published the following information: "In addition to the principle agreement on billing painting at a specific rate TP independent of T1, T2, or T3 and established based on the actual costs of the company, a second important point was announced during this meeting: the creation of the inter-union technical commission for bodywork." This information refers to professional practices regarding the pricing of bodywork services. Indeed, some bodywork professionals use a single hourly rate, while others differentiate their rates based on the nature and complexity of the work performed. They generally distinguish two or three hourly rates: T1, T2, and T3. The T1 rate usually corresponds to simple mechanical services (bodywork, installation of bolted parts...), the T2 rate to complex operations (reformatting, painting, welded parts...), and the T3 rate to high-technical operations (frame work). Professional organizations have claimed a specific pricing for painting work situated between the T2 and T3 rates.</w:t>
      </w:r>
    </w:p>
    <w:p>
      <w:r>
        <w:t xml:space="preserve">II. Based on the findings above, the Council,  </w:t>
        <w:br/>
        <w:t xml:space="preserve">Considering that, by letter registered on June 17, 1992, the Minister of Economy and Finance referred to the Council of Competition practices identified during an investigation conducted in 1990 and 1991 under the provisions of Article 47 of the ordinance of December 1, 1986, and reported in an investigation report dated December 18, 1991;  </w:t>
        <w:br/>
        <w:t>Considering that during their investigations, the investigators heard professionals in bodywork operating in the departments of Nord, Pas de Calais, and Somme as well as departmental or regional officials of the trade union organizations in this sector, the National Council of Automotive Professionals (CNPA), the National Group of Repair Body Shops (GNCR)</w:t>
      </w:r>
    </w:p>
    <w:p>
      <w:r>
        <w:rPr>
          <w:b/>
        </w:rPr>
        <w:t>[Pages 4–6]</w:t>
      </w:r>
    </w:p>
    <w:p>
      <w:r>
        <w:t xml:space="preserve">(GNCR) and the National Federation of Trade and Craftsmanship (FNCAA);  </w:t>
        <w:br/>
        <w:t xml:space="preserve">Regarding the regularity of the communication of professional journals:  </w:t>
        <w:br/>
        <w:t xml:space="preserve">Considering that under the terms of Article 46 of the ordinance of December 1, 1986: "Investigations result in the establishment of official reports (...)";  </w:t>
        <w:br/>
        <w:t xml:space="preserve">Considering that, although according to the investigation report: "The majority of the union documents related to the profession of bodywork were collected during interventions carried out with the Picard unions," no element of the file allows for an assessment of the conditions under which the excerpts from the journal "L'officiel de l'automobile" of May 1991, attached in annex 22 of the administrative report, were handed over to the investigators; furthermore, Mr. Watine, responsible for the CNPA in the department of Nord, and Mr. Dautricourt, Secretary General of the CNPA of Pas de Calais, transmitted to the investigators, by letters dated July 23 and 26, 1991, a union bulletin titled "Le carrossier automobile" dated February 1991; that Mr. Watine's transmission was accompanied only by a business card stating "From and with the compliments of Mr. Watine"; that, furthermore, the union bulletin transmitted by Mr. Bernard Dautricourt was accompanied only by a business card with no mention; that thus these documents should be excluded from the procedure, as the regularity of their communication to the investigators cannot be established;  </w:t>
        <w:br/>
        <w:t xml:space="preserve">Regarding the regularity of the hearing reports:  </w:t>
        <w:br/>
        <w:t xml:space="preserve">Considering that the company Carrosseries basséennes argued in the session that the reports that do not establish that the persons heard during the investigation were clearly informed of the purpose of the investigation should be excluded from the file;  </w:t>
        <w:br/>
        <w:t xml:space="preserve">Considering that under the provisions of Article 47 of the ordinance: "Investigators may access all premises, land, or means of transport for professional use, request the communication of books, invoices, and all other professional documents and take copies, collect information and justifications either by summons or on site"; that the reports established following these investigations must comply with the requirements of Article 46 of the ordinance, according to which: "Investigations result in the establishment of official reports and, where appropriate, reports. The official reports are transmitted to the competent authority. A copy is left to the interested parties. They are valid until proven otherwise."; that under the terms of Article 31 of the decree of December 29, 1986: "The official reports provided for in Article 46 of the ordinance are drafted as soon as possible. They state the nature, date, and place of the findings or controls carried out. They are signed by the investigator and the person concerned by the investigations. In case of refusal, this is noted in the report";  </w:t>
        <w:br/>
        <w:t xml:space="preserve">Considering that the proof that the investigators clearly informed the interviewed persons of the purpose of their investigation can be established by the mention "valid until proven otherwise," that the control agents informed the interested party of this purpose, without the need to describe this purpose; that in the absence of a visa of the ordinance of December 1, 1986 as well as the mention of the purpose or at least that it was brought to the attention of the interviewed persons, the control of the regularity of the investigations concerns the content of the acts; that it must, for this purpose, be verified, by examining the statements, that the reporting agent did not leave the interviewed person unaware of the purpose of the control or did not mislead them about its content;  </w:t>
        <w:br/>
        <w:t xml:space="preserve">Considering that the reports of declaration of Mr. Cuvilliers, Mr. Delattre, Mr. Martinet, Mr. Baron, Ms. Baillion, Mr. Villaeys, Mr. Legrand, Mr. Lecocq, Mr. Mory, Mr. Leman, Mr. Barre, Mr. Mathey, and Mr. Nedoncelle do not mention the visa of the ordinance of December 1, 1986 and the purpose of the control, nor the fact that it was indicated and are not accompanied by any document certifying that the declarants were informed about the purpose of the investigation; that consequently, only an examination of the content of these acts can ensure that these persons were aware of the purpose of the investigation and were able to appreciate the scope of their statements;  </w:t>
        <w:br/>
        <w:t xml:space="preserve">Considering that the acknowledgment by an interviewed person of their participation in a prohibited agreement can only be considered as regularly obtained if they could not have misunderstood the scope of their statements and the fact that they could subsequently be used against them; that in this case, in the absence of a visa of the ordinance of December 1, 1986, of the mention that the control agents informed the interested party of this purpose or, at least, that it was brought to their attention, Mr. Cuvilliers, Mr. Delattre, Mr. Martinet, Mr. Baron, Ms. Baillion, Mr. Villaeys, Mr. Legrand, Mr. Lecocq, Mr. Mory, Mr. Leman, Mr. Barre, Mr. Mathey, and Mr. Nedoncelle could have misunderstood the scope of their statements; that the proof of compliance with the obligation of loyalty that must preside over the search for evidence cannot simply be deduced from the clarity and precision of the statements, as it is not established that they were made with full knowledge of their scope; that, under these conditions, the reports of declaration of Mr. Cuvilliers of July 17, 1991, of Mr. Delattre of February 19, 1991, of Mr. Martinet of February 27, 1991, of Mr. Baron of May 30, 1991, of Ms. Baillion of March 6, 1991, of Mr. Villaeys of January 11 and June 18, 1991, of Mr. Legrand of May 16, 1991, of Mr. Lecocq of January 23, 1991, of Mr. Mory of June 5, 1991, of Mr. Leman of June 12, 1991, of Mr. Barre of June 19, 1991, of Mr. Mathey of February 21 and August 30, 1991, and of Mr. Nedoncelle of July 17, 1991 were established irregularly and must be excluded from the procedure, as well as the documents communicated during these hearings;  </w:t>
        <w:br/>
        <w:t xml:space="preserve">Considering that, since the elements collected under irregular conditions are excluded from the file, the proof of anti-competitive practices is not provided,  </w:t>
        <w:br/>
        <w:t xml:space="preserve">DECIDES:  </w:t>
        <w:br/>
        <w:t xml:space="preserve">Single Article. It is not established that the National Council of Automotive Professionals (CNPA), the National Group of Repair Body Shops (GNCR), the National Federation of Automotive Craftsmanship (FNA), the companies Pierre Pardoën, Carrosserie Copin, Carrosserie Saint Christian, Carrosserie Dupont père et fils, Carrosserie Delaby, Carrosserie Thérasse, Tiron, Socamat, Carrosserie Mathey, Villaeys, Ducoulombier, Carrosseries basséennes, Carrosserie Martinet, Carrosserie P Mory, Carrosserie Leman, Carrosserie Delattre, Garage Degardin, Cetab, Legrand Margez, Carrosserie Dieryck, TCA, Carrosserie Dune, and Carrosserie Delgrange have violated the provisions of Article 7 of the ordinance of December 1, 1986.  </w:t>
        <w:br/>
        <w:t xml:space="preserve">Deliberated, on the report of Ms. Isabelle Sévajols, by Mr. Barbeau, president, Messrs. Cortesse and Jenny, vice presidents.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