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https://www.autoritedelaconcurrence.fr/fr/decision/relative-des-pratiques-relevees-dans-le-secteur-de-la-restauration-de-monuments</w:t>
      </w:r>
    </w:p>
    <w:p>
      <w:r>
        <w:t>Pages translated : 10</w:t>
      </w:r>
    </w:p>
    <w:p/>
    <w:p>
      <w:r>
        <w:rPr>
          <w:b/>
        </w:rPr>
        <w:t>[Pages 1–3]</w:t>
      </w:r>
    </w:p>
    <w:p>
      <w:r>
        <w:t xml:space="preserve">COMPETITION COUNCIL  </w:t>
        <w:br/>
        <w:t xml:space="preserve">Decision No. 00-D-38 of September 20, 2000  </w:t>
        <w:br/>
        <w:t xml:space="preserve">concerning practices identified in the sector of restoration  </w:t>
        <w:br/>
        <w:t xml:space="preserve">of historical monuments in Île-de-France  </w:t>
        <w:br/>
        <w:t xml:space="preserve">The Competition Council (permanent commission),  </w:t>
        <w:br/>
        <w:t xml:space="preserve">Having regard to the letter registered on April 1, 1992 under number F 494, by which the Minister of State, Minister of Economy, Finance and Budget, referred to the Competition Council practices of anti-competitive behavior established during contracts for restoration work on historical monuments and public buildings in the Paris region;  </w:t>
        <w:br/>
        <w:t xml:space="preserve">Having regard to Ordinance No. 86-1243 of December 1, 1986 as amended, concerning the freedom of prices and competition and Decree No. 86-1309 of December 29, 1986 as amended, taken for its application;  </w:t>
        <w:br/>
        <w:t xml:space="preserve">Having regard to the observations presented by the companies Zell, Balas-Mahey, Bayon, UTB and by the Government Commissioner;  </w:t>
        <w:br/>
        <w:t xml:space="preserve">Having regard to the other documents in the file;  </w:t>
        <w:br/>
        <w:t xml:space="preserve">The rapporteur, the general rapporteur, the Government Commissioner and the representatives of the companies CREBPP, Balas-Mahey, Bayon and UTB heard during the session of July 12, 2000;  </w:t>
        <w:br/>
        <w:t xml:space="preserve">After deliberating in the absence of the rapporteur and the general rapporteur;  </w:t>
        <w:br/>
        <w:t xml:space="preserve">Adopts the decision based on the findings (I) and the reasons (II) set out below:  </w:t>
        <w:br/>
        <w:t xml:space="preserve">I. - Findings  </w:t>
        <w:br/>
        <w:t xml:space="preserve">A. - THE RELEVANT SECTOR  </w:t>
        <w:br/>
        <w:t xml:space="preserve">In 1989 and 1990, roofing or plumbing work was undertaken in the Paris region in public buildings classified as historical monuments.  </w:t>
        <w:br/>
        <w:t xml:space="preserve">The execution of this work requires a particular know-how. This is why few companies are capable of carrying it out, and the project owner, most often the Ministry of Culture, generally resorts to the procedure of restricted calls for tenders.  </w:t>
        <w:br/>
        <w:t xml:space="preserve">B. - THE IDENTIFIED PRACTICES  </w:t>
        <w:br/>
        <w:t xml:space="preserve">On March 12, 1991, investigators from the Directorate of Competition, Consumer Affairs and Fraud Prevention conducted seizures, based on Article 48 of the Ordinance of December 1, 1986, at the premises of nine companies operating in this sector.  </w:t>
        <w:br/>
        <w:t>These documents revealed, for seven public contracts, indications of anti-competitive practices.</w:t>
      </w:r>
    </w:p>
    <w:p>
      <w:r>
        <w:t xml:space="preserve">1. The contract concerning the refurbishment of the kitchen at Hôtel Matignon  </w:t>
        <w:br/>
        <w:t xml:space="preserve">a) The contract  </w:t>
        <w:br/>
        <w:t xml:space="preserve">In 1989, the State issued a restricted call for tenders concerning the plumbing lot for the refurbishment of the kitchen at Hôtel Matignon.  </w:t>
        <w:br/>
        <w:t xml:space="preserve">The companies Balas-Mahey, Gallozzi, Clavel, Union Technique du Bâtiment (UTB), Capra, and Société d'entreprises de canalisations et de couverture (SECC) submitted the following bids:  </w:t>
        <w:br/>
        <w:t xml:space="preserve">COMPANIES  </w:t>
        <w:br/>
        <w:t xml:space="preserve">Balas-Mahey Gallozzi Clavel UTB Capra SECC  </w:t>
        <w:br/>
        <w:t xml:space="preserve">Total including tax in F 215,345 227,231 232,566 234,726 241,165 249,827  </w:t>
        <w:br/>
        <w:t xml:space="preserve">On June 19, 1989, the commission, convened by the contracts office of the General Secretariat of the Government, proceeded to open the bids and noted that the company Balas-Mahey was the lowest bidder.  </w:t>
        <w:br/>
        <w:t xml:space="preserve">b) The documents collected  </w:t>
        <w:br/>
        <w:t>The visit conducted at the headquarters of the company SECC led to the discovery of a fax from the company Balas-Mahey (report pages 91 and 92), addressed to Mr. Dheilly, Chairman and CEO of the company SECC. This document was received on June 9, 1989, while the bids were to be submitted no later than the 14th of the month: it provides all the elements of the price list to be filled out by the company SECC. The submission from SECC dated June 13 is identical to this price list (pages 89 and 90 of the report).</w:t>
      </w:r>
    </w:p>
    <w:p>
      <w:r>
        <w:t xml:space="preserve">2. The contract concerning plumbing work at the National Domain of Saint-Cloud  </w:t>
        <w:br/>
        <w:t xml:space="preserve">a) The contract  </w:t>
        <w:br/>
        <w:t xml:space="preserve">In 1989, the State issued a restricted fixed-price call for tenders for the installation of individual heating in the buildings of "the former management" and "the hunting gendarmerie" at Saint-Cloud.  </w:t>
        <w:br/>
        <w:t xml:space="preserve">The companies Union Technique du Bâtiment, Sauvaget, Valentin Barousse, Tournois, Piollet, and SECC submitted the following bids:  </w:t>
        <w:br/>
        <w:t xml:space="preserve">COMPANIES  </w:t>
        <w:br/>
        <w:t xml:space="preserve">Union Sauvaget Valentin- Tournois Piollet SECC  </w:t>
        <w:br/>
        <w:t xml:space="preserve">Technique de Barousse  </w:t>
        <w:br/>
        <w:t xml:space="preserve">Total including tax in F 453,385.27 485,130.93 495,356.62 509,505.60 513,273.52 532,205.64  </w:t>
        <w:br/>
        <w:t>On July 20, 1989, the procurement commission proceeded to open the bids and noted that the company Union Technique du Bâtiment was the lowest bidder.</w:t>
      </w:r>
    </w:p>
    <w:p>
      <w:r>
        <w:t xml:space="preserve">b) The documents collected  </w:t>
        <w:br/>
        <w:t>The visit conducted at the headquarters of SECC led to the discovery of a fax, dated July 17, 1989 (report pages 105 to 107), from the company Union Technique du Bâtiment while the deadline for submitting bids was set for July 20. This fax includes, in particular, a summary table of the offers to be submitted by SECC. The submission from SECC is identical to the total amount of the price list transmitted by UTB.</w:t>
      </w:r>
    </w:p>
    <w:p>
      <w:r>
        <w:t xml:space="preserve">3. The contract concerning the refurbishment of circulation paths on the roof at the Union Centrale des Arts Décoratifs  </w:t>
        <w:br/>
        <w:t xml:space="preserve">a) The contract  </w:t>
        <w:br/>
        <w:t xml:space="preserve">Following the call for tenders launched by the Ministry of Culture, the companies Miège et Buhler, Balas-Mahey, Battais, SECC, Lagrange and Partiot, Gallozzi, Établissements Jules Zell, and Roussière submitted the offers listed in the table below:  </w:t>
        <w:br/>
        <w:t xml:space="preserve">COMPANIES  </w:t>
        <w:br/>
        <w:t xml:space="preserve">Miège et Balas- Battais SECC Lagrange Gallozzi Etabts Roussière  </w:t>
        <w:br/>
        <w:t xml:space="preserve">Buhler Mahey Partiot Jules Zell  </w:t>
        <w:br/>
        <w:t xml:space="preserve">Total including tax in F 264,084.95 271,989.41 274,139.16 278,320.71 287,848.13 300,399.56 311,096.10 318,774.48  </w:t>
        <w:br/>
        <w:t xml:space="preserve">On October 5, 1989, the procurement commission proceeded to open the bids and noted that the company Miège was the lowest bidder.  </w:t>
        <w:br/>
        <w:t xml:space="preserve">b) The documents collected  </w:t>
        <w:br/>
        <w:t xml:space="preserve">During the visit of investigators from the Directorate of Competition, Consumer Affairs and Fraud Prevention at the headquarters of the company SECC, a fax from the company Miège, dated September 28, 1989, was discovered, providing the elements of a price list to SECC (report pages 97 to 100).  </w:t>
        <w:br/>
        <w:t>The price submitted by the company SECC on September 29, in response to the call for tenders, as recorded in the minutes of the procurement commission, is identical to that appearing in the price list of September 28.</w:t>
      </w:r>
    </w:p>
    <w:p>
      <w:r>
        <w:t xml:space="preserve">4. The contract concerning the National Museum of Sèvres  </w:t>
        <w:br/>
        <w:t xml:space="preserve">a) The contract  </w:t>
        <w:br/>
        <w:t xml:space="preserve">The Ministry of Culture issued a restricted call for tenders for the refurbishment of the roof on the west side of the north wing of the National Museum of Ceramics.  </w:t>
        <w:br/>
        <w:t xml:space="preserve">The companies Établissements Jules Zell, Rousseau, Battais and Meunier, Lagrange Partiot, Miège et Piollet, SECC, and Gallozzi submitted the following bids:  </w:t>
        <w:br/>
        <w:t xml:space="preserve">COMPANIES  </w:t>
        <w:br/>
        <w:t xml:space="preserve">Établissements Rousseau Battais and Lagrange Miège et Piollet SECC Gallozzi  </w:t>
        <w:br/>
        <w:t xml:space="preserve">Jules Zell Meunier -Partiot  </w:t>
        <w:br/>
        <w:t>Total including tax in F 446,491.87 490,538.42 628,578.23 638,447.52 682,540.62 744,437.96 752,680.66</w:t>
      </w:r>
    </w:p>
    <w:p>
      <w:r>
        <w:rPr>
          <w:b/>
        </w:rPr>
        <w:t>[Pages 4–6]</w:t>
      </w:r>
    </w:p>
    <w:p>
      <w:r>
        <w:t xml:space="preserve">the market for the refurbishment of the kitchen at Hôtel Matignon;  </w:t>
        <w:br/>
        <w:t xml:space="preserve">Considering that the company SECC submitted, before the deadline for submission of bids, an offer identical to that appearing on a fax that was sent to it by the company Balas-Mahey; that these facts have not been contested;  </w:t>
        <w:br/>
        <w:t xml:space="preserve">Considering that the two companies submitted distinct bids while refraining from informing the contracting authority of the exchanges of information they had conducted; that these practices were likely to mislead the contracting authority regarding the reality and extent of competition and that they may have had the effect of distorting competition in the market for the refurbishment of the kitchen at Hôtel Matignon;  </w:t>
        <w:br/>
        <w:t xml:space="preserve">Considering that the company SECC and Balas-Mahey exchanged information on prices before the call for tenders related to the refurbishment of the kitchen at Hôtel Matignon;  </w:t>
        <w:br/>
        <w:t xml:space="preserve">Considering that the company SECC and UTB exchanged information on prices before the call for tenders related to the plumbing work at the national estate of Saint-Cloud;  </w:t>
        <w:br/>
        <w:t xml:space="preserve">Considering that the company SECC and Miège et Piollet exchanged information on prices before the call for tenders related to the refurbishment of circulation paths on the roof at the Union centrale des Arts décoratifs;  </w:t>
        <w:br/>
        <w:t xml:space="preserve">Considering that the company SECC and Miège et Piollet exchanged information on prices before the call for tenders related to the  </w:t>
        <w:br/>
        <w:t xml:space="preserve">National Museum of Sèvres;  </w:t>
        <w:br/>
        <w:t xml:space="preserve">Considering that the company SECC and Miège et Piollet exchanged information on prices before the call for tenders related to the refurbishment of the roofs and facades of the Piqueur house in Rueil-Malmaison;  </w:t>
        <w:br/>
        <w:t xml:space="preserve">Considering that the company SECC and SA Zell exchanged information on prices before the call for tenders related to the roofing work of the Maisons-Laffitte castle;  </w:t>
        <w:br/>
        <w:t xml:space="preserve">Considering that the companies Bayon and SA Zell exchanged information on prices before the call for tenders related to the roofing work of the Paris City Hall.  </w:t>
        <w:br/>
        <w:t xml:space="preserve">II. - Based on the preceding findings, the Council,  </w:t>
        <w:br/>
        <w:t xml:space="preserve">On the procedure  </w:t>
        <w:br/>
        <w:t xml:space="preserve">Regarding the company Bayon  </w:t>
        <w:br/>
        <w:t xml:space="preserve">Considering that the company Bayon invokes the irregularity of the order authorizing, by application of Article 48 of the ordinance of December 1, 1986, the seizure of documents concerning it, in the offices of SECC; that it further argues that it has initiated a summary action before the president of the Bobigny High Court seeking to have the procedure declared irregular;  </w:t>
        <w:br/>
        <w:t xml:space="preserve">But considering that the Competition Council does not have jurisdiction to assess the regularity of orders from the presidents of High Courts authorizing visits and seizures under Article 48 of the ordinance of December 1, 1986; that moreover, and in any event, it follows from the indications provided in session by the Government Commissioner that the company was dismissed from its summary action by a decision of September 9, 1998;  </w:t>
        <w:br/>
        <w:t xml:space="preserve">Regarding the company UTB  </w:t>
        <w:br/>
        <w:t xml:space="preserve">Considering that the company UTB, relying on Article 6-1 of the European Convention on Human Rights and Fundamental Freedoms, invokes the nullity of the procedure due to the abnormal length of time elapsed between the occurrence of the facts and the decision of the Competition Council;  </w:t>
        <w:br/>
        <w:t xml:space="preserve">Considering that under Article 6, paragraph 1, of the European Convention on Human Rights and Fundamental Freedoms, everyone is entitled to a fair hearing, publicly and within a reasonable time; that under Article 6, paragraph 3, of the same convention, every accused has the right to have the time and facilities necessary for the preparation of their defense;  </w:t>
        <w:br/>
        <w:t xml:space="preserve">But considering, on the one hand, that assuming the case was not heard within a reasonable time, the sanction attached to this circumstance is the payment of compensation for any damage suffered and not the nullity of the procedure; that, on the other hand, if such nullity could result from the fact that, due to the excessive length of the procedure, the company concerned was unable to normally exercise its right to defend itself, the company UTB neither alleges nor demonstrates having encountered, as a result, an obstacle in the exercise of its rights;  </w:t>
        <w:br/>
        <w:t xml:space="preserve">On the observed practices  </w:t>
        <w:br/>
        <w:t xml:space="preserve">Regarding the contract concerning the refurbishment of the kitchen at Hôtel Matignon  </w:t>
        <w:br/>
        <w:t xml:space="preserve">Considering that the company SECC submitted before the deadline for submission of bids an offer identical to that appearing on a fax that was sent to it by the company Balas-Mahey; that these facts have not been contested;  </w:t>
        <w:br/>
        <w:t>Considering that the two companies submitted distinct bids while refraining from informing the contracting authority of the exchanges of information they had conducted; that these practices were likely to mislead the contracting authority regarding the reality and extent of competition and that they may have had the effect of distorting competition in the market for the refurbishment of the kitchen at Hôtel Matignon;</w:t>
      </w:r>
    </w:p>
    <w:p>
      <w:r>
        <w:rPr>
          <w:b/>
        </w:rPr>
        <w:t>[Pages 7–9]</w:t>
      </w:r>
    </w:p>
    <w:p>
      <w:r>
        <w:t xml:space="preserve">Domaine national de Saint-Cloud et a communiqué à la société SECC des informations sur les prix avant la date limite de dépôt des soumissions ;  </w:t>
        <w:br/>
        <w:t xml:space="preserve">Considérant que cette société a réalisé en 1999, dernier exercice clos disponible, un chiffre d’affaires de 200 000 000 F ; qu’en fonction des éléments généraux et individuels tels qu’appréciés ci-dessus, il y a lieu de lui infliger une sanction pécuniaire de 150 000 F ;  </w:t>
        <w:br/>
        <w:t xml:space="preserve">En ce qui concerne la société SECC  </w:t>
        <w:br/>
        <w:t xml:space="preserve">Considérant que la société SECC a été reconnue coupable de pratiques prohibées par les dispositions de l’article 7 de l’ordonnance du 1er décembre 1986 ; qu’elle a réalisé en 1999, dernier exercice clos disponible, un chiffre d’affaires de 250 000 000 F ; qu’en fonction des éléments généraux et individuels tels qu’appréciés ci-dessus, il y a lieu de lui infliger une sanction pécuniaire de 500 000 F ;  </w:t>
        <w:br/>
        <w:t xml:space="preserve">En ce qui concerne la société CGCE  </w:t>
        <w:br/>
        <w:t xml:space="preserve">Considérant que la société CGCE ne peut être sanctionnée au titre de pratiques qui sont le fait de la société SECC ;  </w:t>
        <w:br/>
        <w:t xml:space="preserve">En ce qui concerne les sociétés Établissements Jules Zell et Zell SA  </w:t>
        <w:br/>
        <w:t xml:space="preserve">Considérant que la société Zell SA doit être mise hors de cause ;  </w:t>
        <w:br/>
        <w:t xml:space="preserve">Sur les décisions  </w:t>
        <w:br/>
        <w:t xml:space="preserve">Considérant qu’il y a lieu de prononcer les sanctions pécuniaires suivantes :  </w:t>
        <w:br/>
        <w:t xml:space="preserve">- Société Miège et Piollet : 300 000 F  </w:t>
        <w:br/>
        <w:t xml:space="preserve">- Société Balas-Mahey : 120 000 F  </w:t>
        <w:br/>
        <w:t xml:space="preserve">- Société Union Technique du Bâtiment : 150 000 F  </w:t>
        <w:br/>
        <w:t xml:space="preserve">- Société SECC : 500 000 F  </w:t>
        <w:br/>
        <w:t xml:space="preserve">Décide :  </w:t>
        <w:br/>
        <w:t xml:space="preserve">Article 1 : Les sociétés Miège et Piollet, Balas-Mahey, Union Technique du Bâtiment et SECC sont condamnées à payer les sanctions pécuniaires respectives mentionnées ci-dessus.  </w:t>
        <w:br/>
        <w:t xml:space="preserve">Article 2 : La société CGCE est mise hors de cause.  </w:t>
        <w:br/>
        <w:t xml:space="preserve">Article 3 : La société Zell SA est mise hors de cause.  </w:t>
        <w:br/>
        <w:t xml:space="preserve">Article 4 : Les frais sont supportés par les personnes intéressées.  </w:t>
        <w:br/>
        <w:t>Article 5 : La présente décision sera publiée dans les journaux ou publications désignés par le Conseil de la concurrence.</w:t>
      </w:r>
    </w:p>
    <w:p>
      <w:r>
        <w:rPr>
          <w:b/>
        </w:rPr>
        <w:t>[Pages 10–10]</w:t>
      </w:r>
    </w:p>
    <w:p>
      <w:r>
        <w:t xml:space="preserve">concerning the National Domain of Saint-Cloud, by sending to the company SECC a fax containing the price list elements that the latter was to submit;  </w:t>
        <w:br/>
        <w:t xml:space="preserve">Considering that this company achieved, in 1999, the last available closed financial year, a turnover of 246,846,686 F; that based on the general and individual elements as assessed above, it is appropriate to impose a financial penalty of 100,000 F;  </w:t>
        <w:br/>
        <w:t xml:space="preserve">Regarding the company Bayon  </w:t>
        <w:br/>
        <w:t xml:space="preserve">Considering that the company Bayon participated in the call for tenders launched by the city of Paris for the execution of roofing work on the Paris City Hall, and sent to the company Établissements Jules Zell a fax containing the price list elements that the latter was to submit;  </w:t>
        <w:br/>
        <w:t xml:space="preserve">Considering that this company achieved, in 1999, the last available closed financial year, a turnover of 10,002,646 F; that after a heavily loss-making 1998 financial year, it was subject to judicial recovery which resulted in a continuation plan; that based on the general and individual elements as assessed above, there is no need to impose a financial penalty,  </w:t>
        <w:br/>
        <w:t xml:space="preserve">Decides:  </w:t>
        <w:br/>
        <w:t xml:space="preserve">Article 1 – It is established that the companies Miège et Piollet, Balas-Mahey, Union Technique du Bâtiment, and Bayon have violated the provisions of Article 7 of the ordinance of December 1, 1986.  </w:t>
        <w:br/>
        <w:t xml:space="preserve">Article 2. - The following financial penalties are imposed:  </w:t>
        <w:br/>
        <w:t xml:space="preserve">300,000 F on the company Miège et Piollet,  </w:t>
        <w:br/>
        <w:t xml:space="preserve">120,000 F on the company Balas-Mahey,  </w:t>
        <w:br/>
        <w:t xml:space="preserve">100,000 F on the company Union Technique du Bâtiment (UTB).  </w:t>
        <w:br/>
        <w:t xml:space="preserve">Deliberated on the report of Mr. d’Aumale, by Ms. Hagelsteen, president, Ms. Pasturel and Mr. Cortesse, vice-presidents.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