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https://www.autoritedelaconcurrence.fr/fr/decision/relative-des-pratiques-relevees-dans-le-secteur-de-lentretien-courant-des-locaux</w:t>
      </w:r>
    </w:p>
    <w:p>
      <w:r>
        <w:t>Pages translated : 28</w:t>
      </w:r>
    </w:p>
    <w:p/>
    <w:p>
      <w:r>
        <w:rPr>
          <w:b/>
        </w:rPr>
        <w:t>[Pages 1–3]</w:t>
      </w:r>
    </w:p>
    <w:p>
      <w:r>
        <w:t xml:space="preserve">RÉPUBLIQUE FRANÇAISE  </w:t>
        <w:br/>
        <w:t xml:space="preserve">Decision No. 08-D-13 of June 11, 2008  </w:t>
        <w:br/>
        <w:t xml:space="preserve">regarding practices observed in the sector of  </w:t>
        <w:br/>
        <w:t xml:space="preserve">routine maintenance of premises  </w:t>
        <w:br/>
        <w:t xml:space="preserve">The Competition Council (Section IV),  </w:t>
        <w:br/>
        <w:t xml:space="preserve">Having regard to the letter of May 5, 2006, registered under number 677 (06/0039F), by which the Minister of Economy, Finance and Industry referred to the Competition Council a file concerning a practice of consultation among the companies that submitted bids for a cleaning contract launched by the Public Housing Office of Mayenne, likely to be covered by Article L. 420-1 of the Commercial Code;  </w:t>
        <w:br/>
        <w:t xml:space="preserve">Having regard to Article 81 of the Treaty establishing the European Community;  </w:t>
        <w:br/>
        <w:t xml:space="preserve">Having regard to Book IV of the Commercial Code relating to price freedom and competition;  </w:t>
        <w:br/>
        <w:t xml:space="preserve">Having regard to the business secrecy decisions No. 07-DSA-109 of May 23, 2007, and No. 07-DSA-117 of June 1, 2007, and decision No. 07-DECR-32 of September 21, 2007, authorizing the use of documents classified in the confidential annex;  </w:t>
        <w:br/>
        <w:t xml:space="preserve">Having regard to the minutes of January 28, 2008, by which Onet Services requested to benefit from the provisions of III of Article L. 464-2 of the Commercial Code;  </w:t>
        <w:br/>
        <w:t xml:space="preserve">Having regard to the minutes of February 5, 2008, by which Spid requested to benefit from the provisions of III of Article L. 464-2 of the Commercial Code;  </w:t>
        <w:br/>
        <w:t xml:space="preserve">Having regard to the minutes of February 5, 2008, by which Spid Anjou requested to benefit from the provisions of III of Article L. 464-2 of the Commercial Code;  </w:t>
        <w:br/>
        <w:t xml:space="preserve">Having regard to the minutes of February 5, 2008, by which Haute Mayenne Services (HMS) requested to benefit from the provisions of III of Article L. 464-2 of the Commercial Code;  </w:t>
        <w:br/>
        <w:t xml:space="preserve">Having regard to the observations presented on February 5, 2008, by Onet Services and on March 5, 2008, by Spid, Spid Anjou, and HMS as well as by the Government Commissioner;  </w:t>
        <w:br/>
        <w:t xml:space="preserve">Having regard to the other documents in the file;  </w:t>
        <w:br/>
        <w:t xml:space="preserve">The rapporteur, the deputy general rapporteur, the Government Commissioner, the companies Onet Services, Spid, Spid Anjou, and HMS heard during the session of May 6, 2008;  </w:t>
        <w:br/>
        <w:t>Adopts the following decision:</w:t>
      </w:r>
    </w:p>
    <w:p>
      <w:r>
        <w:t xml:space="preserve">I. Findings  </w:t>
        <w:br/>
        <w:t xml:space="preserve">1. The services of the General Directorate for Competition Policy, Consumer Affairs and Fraud Control (DGCCRF) conducted an investigation that required recourse to the provisions of Article L. 450-4 of the Commercial Code. This investigation led to a search and seizure authorization issued on August 22, 2005, by the judge of freedoms and detention of the High Court of Laval (Mayenne). The findings also result from investigations conducted by the DDCCRF of Mayenne prior to the implementation of Article L. 450-4 of the Commercial Code. It is based on all these findings that the Minister of Economy referred the matter to the Competition Council on May 5, 2006.  </w:t>
        <w:br/>
        <w:t xml:space="preserve">A. MARKET AND BIDS  </w:t>
        <w:br/>
        <w:t xml:space="preserve">2. The Public Departmental Office of HLM of Mayenne (OPDHLM) launched on January 24, 2003, a "contract for the elimination of waste and routine maintenance of common areas of buildings distributed across its property," in the form of an open European tender. It aimed at routine cleaning services for premises, divided into five lots, one of which concerned the routine maintenance of the administrative premises of the Office, and the other four concerned the cleaning of common areas of residential buildings rented by the Office, divided by geographical area of the department:  </w:t>
        <w:br/>
        <w:t xml:space="preserve">- Lot 1: west of the department,  </w:t>
        <w:br/>
        <w:t xml:space="preserve">- Lot 2: east of the department,  </w:t>
        <w:br/>
        <w:t xml:space="preserve">- Lot 3: north of the department,  </w:t>
        <w:br/>
        <w:t xml:space="preserve">- Lot 4: south of the department,  </w:t>
        <w:br/>
        <w:t xml:space="preserve">- Lot 5: administrative premises.  </w:t>
        <w:br/>
        <w:t xml:space="preserve">The duration of the contract was set at three years.  </w:t>
        <w:br/>
        <w:t xml:space="preserve">3. In view of the report of the tender commission of March 19, 2003, dedicated to the opening of bids, seven companies expressed interest. Three companies or groups of companies submitted bids for all lots (Onet Services, the Spid group, and SND Froissard), while the companies Renosol and ISS Abilis submitted bids for some of them, according to the description of the offers (mentioned in paragraph 4). The offer from Renosol was submitted late (on March 18 at 12:20 PM instead of 12:00 PM according to the bid submission register) and was not opened. The offer from SND Froissard was rejected at the second envelope stage "due to the numerous difficulties encountered by the Office in executing the services of the previous contract (services not performed, absent technical quality)."  </w:t>
        <w:br/>
        <w:t xml:space="preserve">4. The former holders of the contract submitted bids in the following conditions: SND Froissard, which had won lots 1, 2, and 3 in 2000, expanded its bid to all lots. The Spid group, which only held lots 4 and 5, submitted bids for all lots, distributing those that were not awarded (lots 1, 2, and 3) between two of the group's companies (SA Spid and SARL HMS) and reallocating lot 4 from Spid to Spid Anjou.  </w:t>
        <w:br/>
        <w:t xml:space="preserve">5. The table of submitted offers summarizes the bidding conditions for the lots, the evaluation by the contracting authority, and the situation of the bidders in the previous contract:  </w:t>
        <w:br/>
        <w:t xml:space="preserve">Lots 1 2 3 4 5 Total  </w:t>
        <w:br/>
        <w:t xml:space="preserve">(amount in euros) west east north south administrative / 3 years  </w:t>
        <w:br/>
        <w:t xml:space="preserve">Office Estimate 81,000 120,000 111,000 84,000 255,000 651,000  </w:t>
        <w:br/>
        <w:t xml:space="preserve">"Group" Spid  </w:t>
        <w:br/>
        <w:t xml:space="preserve">SA Spid 131,999.54 220,906.88  </w:t>
        <w:br/>
        <w:t xml:space="preserve">Sarl Spid Anjou 80,244.69  </w:t>
        <w:br/>
        <w:t xml:space="preserve">Sarl Haute Mayenne Services 187,363.82 176,177.76  </w:t>
        <w:br/>
        <w:t xml:space="preserve">TOTAL "Group" 131,999.54 187,363.82 176,177.76 80,244.69 220,906.88 796,692.69  </w:t>
        <w:br/>
        <w:t xml:space="preserve">Other open offers  </w:t>
        <w:br/>
        <w:t xml:space="preserve">Onet 142,362.52 201,652.70 189,132.35 85,958.58 246,159.08 865,265.23  </w:t>
        <w:br/>
        <w:t xml:space="preserve">ISS Abilis 236,474.95  </w:t>
        <w:br/>
        <w:t xml:space="preserve">Offers not opened (late* or rejected**)  </w:t>
        <w:br/>
        <w:t xml:space="preserve">Renosol 166,617.18 106,227.66 216,016.80  </w:t>
        <w:br/>
        <w:t xml:space="preserve">SND Froissard 76,247.30 129,997.51 97,341.94 47,561.92 161,669.97 512,818.64  </w:t>
        <w:br/>
        <w:t xml:space="preserve">NB: Cells are shaded when the bidder for the lot is also the holder of the previous contract 2000-2003.  </w:t>
        <w:br/>
        <w:t xml:space="preserve">*Renosol not opened at the 1st envelope because late.  </w:t>
        <w:br/>
        <w:t xml:space="preserve">**SND not opened at the 2nd envelope because rejected.  </w:t>
        <w:br/>
        <w:t xml:space="preserve">6. It is observed that the open offers, made for all lots by the Spid group and by Onet, generally exceed the Office's estimate (+22.4% for Spid and +32.9% for Onet). This trend is accentuated for lots 1 to 3, previously awarded to SND Froissard: the Spid offer thus exceeds the estimate by 62.9% for lot 1, by 56.1% for lot 2, and by 58.7% for lot 3. Regarding lot 4, the Spid offer is below the Office's estimate (-4.5%). The three competing offers are below the estimate for lot 5.  </w:t>
        <w:br/>
        <w:t xml:space="preserve">7. The analysis of the offers by the tender commission on April 2, 2003, focused on those of the Spid group and the companies Onet and ISS Abilis, as the other offers were not retained for the reasons stated in paragraph 3. The commission selected "the economically most advantageous offers" presented by the companies of the Spid group for the different lots submitted.  </w:t>
        <w:br/>
        <w:t>8. It specifies that from the point of view of the estimated number of hours annually required to carry out the services, the offers from Onet and Spid are considered equivalent given the minor discrepancy observed. The evaluation made by the companies corresponds to the expected number of hours to execute the services under satisfactory conditions. However, the offer from Spid appears financially more advantageous regarding the cost of supervision and, to a lesser extent, that of supplies. Finally, the Office has</w:t>
      </w:r>
    </w:p>
    <w:p>
      <w:r>
        <w:rPr>
          <w:b/>
        </w:rPr>
        <w:t>[Pages 4–6]</w:t>
      </w:r>
    </w:p>
    <w:p>
      <w:r>
        <w:t>is the expected number of hours required to perform the services under satisfactory conditions. However, the offer from the company Spid appears financially more advantageous regarding the cost of supervision and, to a lesser extent, that of supplies. Finally, the Office is aware of the technical value and quality of the cleaning services performed by the company Spid SA, which was the holder of lots 4 and 5 of the previous contract.</w:t>
      </w:r>
    </w:p>
    <w:p>
      <w:r>
        <w:t>9. The contract was awarded to the three companies of the Spid group under the conditions mentioned in paragraph 4.</w:t>
      </w:r>
    </w:p>
    <w:p>
      <w:r>
        <w:t>10. The investigation report highlighted certain specificities of the call for tenders regarding the hourly discrepancies between the estimate of the contracting authority and the proposals of certain bidders, as well as the situation of SND, holder of lots 1 to 3 of the previous contract (reference 14).</w:t>
      </w:r>
    </w:p>
    <w:p>
      <w:r>
        <w:t>11. The investigation and instruction reveal a correlation between the offers of the company Onet and the companies of the Spid group due to an exchange of information that caused an artificial increase in the prices of the services.</w:t>
      </w:r>
    </w:p>
    <w:p>
      <w:r>
        <w:t>B. IDENTIFIED PRACTICES</w:t>
      </w:r>
    </w:p>
    <w:p>
      <w:r>
        <w:t>1. A CORRELATION OF OFFERS, SPECIFIC TO THE COMPANIES OF THE SPID GROUP AND THE ONET COMPANY</w:t>
      </w:r>
    </w:p>
    <w:p>
      <w:r>
        <w:t>a) A correlation of the overall costs of the offers from Onet and Spid not observed for other offers</w:t>
      </w:r>
    </w:p>
    <w:p>
      <w:r>
        <w:t>12. By convention and to facilitate comparisons, the offers from the companies of the Spid group will be referred to under the generic name "Spid," whether they come from Spid SA (lots 1 and 5), or from SARL HMS (lots 2 and 3) or Spid Anjou (lot 4).</w:t>
      </w:r>
    </w:p>
    <w:p>
      <w:r>
        <w:t>13. By overall cost, it is meant the annual cost excluding taxes of the services, which includes the cost of labor and supervision as well as that of supplies. These elements of price breakdown for the services are included in the commitment documents for each lot submitted by the candidates for the contract. They are detailed by intervention site. Regarding Onet and Spid, comparisons were made not only from the bid submission documents but also based on offer preparation documents produced during the hearings conducted by the DGCCRF. Comparisons of other offers with the selected offer are limited to the bid submission documents, whether they were opened or not.</w:t>
      </w:r>
    </w:p>
    <w:p>
      <w:r>
        <w:t>14. In the administrative investigation report, comparisons are made by lot and by intervention site of the annual overall cost of the different offers, whether selected or not. These highlight positive variation percentages that are almost systematically rounded (except for lot 5) for the offers from Onet and Spid, repeating for several sites of the same lot, and even between sites of different lots. Conversely, the variation percentages of the overall costs of the other offers compared to the selected offer (Spid) are erratic in absolute value and generally non-repetitive.</w:t>
      </w:r>
    </w:p>
    <w:p>
      <w:r>
        <w:t>15. The variation rates by site of the offers submitted by Onet compared to those of the Spid group are almost systematically rounded to two decimal places for the sites of lots 1 to 4. For these four lots, the share of sites with a variation rate of the overall cost rounded to two decimal places is 94.5%. Regarding the other offers, the variation rates compared to the Spid offer are only occasionally rounded rates.</w:t>
      </w:r>
    </w:p>
    <w:p>
      <w:r>
        <w:t>16. The use of identical variation rates between sites of the same lot or between sites of different lots characterizes the proportionality relationship of the Onet and Spid offers. A limited number of variation rates of the overall cost of the two offers is highlighted: twelve rates explain the relationship between the offers of sixty-three sites among the eighty-four included in the market, and four rates (6.50%, 7%, 8%, and 9%) reflect the relationship between the Onet and Spid offers of thirty-eight sites. The repetition of the variation rates of the overall cost between each of the other offers and the Spid offer remains minority, with the discrepancies by site being only occasionally constant between the offers.</w:t>
      </w:r>
    </w:p>
    <w:p>
      <w:r>
        <w:t>b) A similarity of cost structures not observed for other offers</w:t>
      </w:r>
    </w:p>
    <w:p>
      <w:r>
        <w:t>An equivalent volume of proposed hours to perform the services</w:t>
      </w:r>
    </w:p>
    <w:p>
      <w:r>
        <w:t>17. From the perspective of the estimated number of hours annually required to perform the services, the offers from Onet and Spid were deemed "equivalent" in the bid analysis report of March 19, 2003, for each of the lots by the bid evaluation committee, due to the minor discrepancy observed between them.</w:t>
      </w:r>
    </w:p>
    <w:p>
      <w:r>
        <w:t>18. The comparison of the annual volumes of hours announced by Onet Services and by the companies of the Spid group, conducted based on the price breakdown tables attached to the commitment documents, highlights an equivalence of the offers by lot and by site of each lot.</w:t>
      </w:r>
    </w:p>
    <w:p>
      <w:r>
        <w:t>19. The volume of hours estimated by Onet (15,203.83 hours) is, for the entire contract, 1.74% higher than that of the Spid group (14,944.05), with a range between the lots between 0.65% and 4.37%. By site, the volume of hours estimated by Onet is almost systematically higher than that of the Spid group: Onet's volumes are lower than those of Spid for less than 6% of the sites (5 out of 84 sites), and in this case, the discrepancy is lower in absolute value than the average discrepancy (&lt; 0.5%). The distribution of discrepancies highlights the predominance of hourly discrepancies by site of less than 2% (73.8% of the sites), with discrepancies of less than 1% being observed for 43% of the sites. For each of the lots, except for lot 1, discrepancies by site of less than 2% are in the majority. Lots 3 and 4 stand out with a majority of discrepancies of less than 1%. Finally, the analysis of the frequency of discrepancies by site highlights a significant number of constant discrepancies: only 9 distinct hourly discrepancies are observed for 51 of the 84 sites.</w:t>
      </w:r>
    </w:p>
    <w:p>
      <w:r>
        <w:t>20. Ultimately, the comparative analysis of the annual number of hours by site of the Spid and Onet offers highlights the systematic positivity of the discrepancies, the predominance of hourly discrepancies of less than 2% and even less than 1% for certain lots, as well as the use of a limited number of variation rates between the offers by site. It confirms the finding of equivalence of the offers established by the bid evaluation committee.</w:t>
      </w:r>
    </w:p>
    <w:p>
      <w:r>
        <w:t>21. The comparison of the other non-selected offers (ISS Abilis, Renosol, and SND) with the Spid offer reveals no equivalence of the volumes of hours. The discrepancies in volumes of hours by site are mostly greater than 20% and exceptionally less than 2%, with the most frequent hourly discrepancy observed between the Spid offer and the Onet offer.</w:t>
      </w:r>
    </w:p>
    <w:p>
      <w:r>
        <w:t>22. For the Onet and Spid offers, the number of hours listed in the commitment document is systematically the result of the cost of labor and supervision, related to a constant hourly rate by lot (one rate per lot except for lot 1 for which two hourly rates were used by Onet). This method of determination common to both companies is not systematized by others: for SND and ISS Abilis, the hourly rate varies from site to site; for Renosol, the hourly rates are almost constant between the sites, but still more differentiated than for Onet and Spid. Finally, it is observed that for Onet and Spid, the hourly rate is lower for lot 5 than for the other lots. This observation is not made for the other offers.</w:t>
      </w:r>
    </w:p>
    <w:p>
      <w:r>
        <w:t>An identical supply rate related to the cost of labor and supervision</w:t>
      </w:r>
    </w:p>
    <w:p>
      <w:r>
        <w:t>23. The analysis of the cost structures by site of the Onet and Spid offers reveals a linear relationship between, on the one hand, the cost of supplies and, on the other hand, that of labor and supervision. For each site of lots 1 and 4, a uniform rate of 3% is observed for both entities for determining the cost of supplies based on the total cost of labor. The rate is uniform but distinct for lot 5, for which Onet applies a homogeneous supply rate of 8% to the total cost of labor, while Spid maintains the application of a rate of 3%. The ratio of the cost of supplies to the cost of labor is, except in exceptional cases, never constant regarding the other offers submitted: it varies from site to site with varying amplitudes depending on the lots: thus, for lot 1, the amplitude of the supply rate varies between 11.42% and 17.88% for Renosol and between 2.76% and 8.37% for SND; for lot 4, it varies between 10.72% and 19.01% for SND; finally, for the "offices" lot, the supply rate varies between 9.54% and 21.86% for Renosol and between 6.02% and 19.81% for ISS Abilis.</w:t>
      </w:r>
    </w:p>
    <w:p>
      <w:r>
        <w:t>24. The managers of the Onet Services Laval agency and the companies of the Spid group considered during the hearings conducted in 2003 that the rate of 3% is in accordance with industry practices. However, during the hearing on October 23, 2007, before the Competition Council, the Spid manager specified that the rate of 3% is not a standard and varies according to sectors of activity. It is higher in the agri-food sector than for office maintenance, resulting from the ratio between the corresponding purchases and turnover, and its determination is a matter of the commercial will of the manager and not a mechanical application.</w:t>
      </w:r>
    </w:p>
    <w:p>
      <w:r>
        <w:t>25. The calculation documents concerning other contracts, seized at Onet Services Laval on September 1, 2005, report supply rates different from 3% and variable according to the contract (2% concerning France Telecom Cab Maine et Loire and 2.5% for France Telecom 2002 Laval). They are subject, at the level of the detailed unit estimates seized at Onet for other contracts, to a fixed monthly amount depending on the number of agents employed at each site. The progressive nature of the supply rate depending on the number of agents employed and the absence of recourse to the uniform rate of 3% or 8% characterize these contracts.</w:t>
      </w:r>
    </w:p>
    <w:p>
      <w:r>
        <w:rPr>
          <w:b/>
        </w:rPr>
        <w:t>[Pages 7–9]</w:t>
      </w:r>
    </w:p>
    <w:p>
      <w:r>
        <w:t>responsable) une note de calcul, mais qu'il ne s'agissait pas d'un document officiel ».</w:t>
      </w:r>
    </w:p>
    <w:p>
      <w:r>
        <w:t>41. Il est donc peu plausible que des informations aient été échangées après la date limite de remise des offres, d'autant plus que les éléments de preuve montrent que les offres avaient été préparées de manière simultanée et coordonnée avant cette date.</w:t>
      </w:r>
    </w:p>
    <w:p>
      <w:r>
        <w:t>42. En conséquence, les relations établies entre les offres de Spid et Onet ne peuvent pas être justifiées par un échange d'informations postérieur à la remise des offres, mais doivent être considérées comme le résultat d'une entente préalable.</w:t>
      </w:r>
    </w:p>
    <w:p>
      <w:r>
        <w:t>43. Il est donc établi que les offres de Spid et Onet présentent des similitudes significatives qui ne peuvent être attribuées à des facteurs aléatoires, mais résultent d'une coordination délibérée entre les deux entreprises.</w:t>
      </w:r>
    </w:p>
    <w:p>
      <w:r>
        <w:rPr>
          <w:b/>
        </w:rPr>
        <w:t>[Pages 10–12]</w:t>
      </w:r>
    </w:p>
    <w:p>
      <w:r>
        <w:t>will ensure that the attendance sheets are kept and that the training sessions are properly documented.</w:t>
      </w:r>
    </w:p>
    <w:p>
      <w:r>
        <w:t>b) Regarding the implementation of a compliance program within Onet Services and the companies of the Cleaning - Multiservices Division responsible for calls for tenders</w:t>
        <w:br/>
        <w:t>• Onet Services commits to establishing a compliance program aimed at ensuring adherence to competition law. This program will include the appointment of a compliance officer responsible for overseeing compliance with competition rules within the company.</w:t>
        <w:br/>
        <w:t>• The compliance officer will be tasked with monitoring the implementation of the training sessions and ensuring that all employees involved in the tendering process are aware of their obligations under competition law.</w:t>
        <w:br/>
        <w:t>• The compliance program will also include regular audits to assess compliance with competition rules and to identify any potential risks or violations.</w:t>
      </w:r>
    </w:p>
    <w:p>
      <w:r>
        <w:t>c) In terms of internal communication and reporting mechanisms</w:t>
        <w:br/>
        <w:t>• Onet Services will implement internal communication channels to encourage employees to report any concerns or suspicions regarding potential violations of competition law. This will include the establishment of a whistleblower policy to protect employees who report such concerns.</w:t>
        <w:br/>
        <w:t>• The company will ensure that all reports are taken seriously and investigated promptly, with appropriate measures taken in response to any confirmed violations.</w:t>
      </w:r>
    </w:p>
    <w:p>
      <w:r>
        <w:t>d) Regarding the monitoring and evaluation of the commitments made</w:t>
        <w:br/>
        <w:t>• Onet Services will conduct regular evaluations of the effectiveness of the training sessions and the compliance program, making adjustments as necessary to improve their effectiveness.</w:t>
        <w:br/>
        <w:t>• The company will provide annual reports to the relevant authorities on the implementation of these commitments and any measures taken in response to identified issues.</w:t>
      </w:r>
    </w:p>
    <w:p>
      <w:r>
        <w:t>51. These commitments will be implemented in a timely manner and will be subject to oversight by the relevant authorities to ensure compliance with competition law and to prevent any future anti-competitive practices.</w:t>
      </w:r>
    </w:p>
    <w:p>
      <w:r>
        <w:rPr>
          <w:b/>
        </w:rPr>
        <w:t>[Pages 13–15]</w:t>
      </w:r>
    </w:p>
    <w:p>
      <w:r>
        <w:t xml:space="preserve">annual report of the training sessions specifying in particular the number of participants in each session. </w:t>
        <w:br/>
        <w:t xml:space="preserve">• Finally, each participant will have the opportunity to contact the lawyer who provided the training throughout the year in order to enhance their knowledge of competition law and to ask specific questions. </w:t>
        <w:br/>
        <w:t xml:space="preserve">• In the future, the employment contracts concluded by Onet Services with executive managers or commercial executives will include a provision stating that any personal participation in an anti-competitive agreement could be classified as serious or gross misconduct and may result, if applicable, in dismissal. For ongoing contracts, Onet will send employees an information note drawing their attention to the obligation, under penalty of sanction, to comply with competition law. This note will be signed by each of these employees and will be established in duplicate, one copy intended for the Human Resources Department. </w:t>
        <w:br/>
        <w:t xml:space="preserve">• Onet Services has obtained the agreement of its parent company Onet SA to include competition law modules in the internal training cycles ("national stream" and "regional streams") intended for the operational managers of the Cleaning - Multi-services Division who are to become agency directors. </w:t>
        <w:br/>
        <w:t xml:space="preserve">• Onet Services has also obtained the agreement of Onet SA to develop, with the help of lawyers specialized in competition law, an instruction note aimed at recalling the fundamental principles of competition law, which will be disseminated on its intranet site. This instruction note will be updated quarterly, followed by an automatic sending to the attention of the agency directors and commercial managers of the companies attached to the Cleaning - Multi-services Division. </w:t>
        <w:br/>
        <w:t xml:space="preserve">b) Regarding the monitoring of compliance with competition rules </w:t>
        <w:br/>
        <w:t xml:space="preserve">Onet Services commits to appoint a mediator responsible for ensuring compliance with competition law and, if necessary, alerting the General Management of Onet Services to any violations thereof. The mediator will be appointed from among the members of the General Management. </w:t>
        <w:br/>
        <w:t xml:space="preserve">This mediator will have the mission of establishing a telephone hotline or a professional alert email allowing, in compliance with regulations and notably the "Data Protection Act," any employee of Onet Services who is aware of potentially anti-competitive practices to inform the mediator, who will guarantee confidentiality to this employee. </w:t>
        <w:br/>
        <w:t xml:space="preserve">This mediator may conduct any audit on the facts brought to their attention and must transmit the resulting report to the General Management of Onet Services. </w:t>
        <w:br/>
        <w:t xml:space="preserve">The mediator will be appointed by a general assembly of Onet Services and will have full latitude to fulfill their mission within the company. </w:t>
        <w:br/>
        <w:t>Onet Services commits to retain, subject to compliance with applicable regulations, the mediator's working documents for a period of five years from their establishment.</w:t>
      </w:r>
    </w:p>
    <w:p>
      <w:r>
        <w:t xml:space="preserve">c) Regarding the prior control of offers submitted by local agencies of Onet Services in response to calls for tenders </w:t>
        <w:br/>
        <w:t xml:space="preserve">Onet Services commits that any agency director, when considering responding to a call for tenders for a contract valued at more than 12,000 euros, will submit a presentation document of the concerned offer to their Regional Director in order to obtain their approval on the offer. </w:t>
        <w:br/>
        <w:t xml:space="preserve">This document will present the offer in detail (details of the price proposed by lots, the services offered, and the costs that will be incurred to execute these services) as well as a summary of the main elements characterizing the call for tenders. </w:t>
        <w:br/>
        <w:t xml:space="preserve">In case of doubt regarding the compatibility of the offer with competition law rules, the Regional Director may alert the General Management of Onet Services. </w:t>
        <w:br/>
        <w:t>These documents will be retained for a period of 3 years from the date of response to the concerned call for tenders.</w:t>
      </w:r>
    </w:p>
    <w:p>
      <w:r>
        <w:t xml:space="preserve">d) Regarding the monitoring of compliance with the commitments made </w:t>
        <w:br/>
        <w:t xml:space="preserve">• Onet Services commits that independent external organizations responsible for granting certifications (for example, the ISO 9001 standard) to Onet Services will include in their control the compliance with the commitments made in this minutes. </w:t>
        <w:br/>
        <w:t xml:space="preserve">• In order to inform the Competition Authority of the execution of the commitments made in this minutes, Onet Services will send it, during the 1st quarter of each year, a report relating to the implementation, during the previous year, of these commitments. </w:t>
        <w:br/>
        <w:t xml:space="preserve">This report will notably indicate: </w:t>
        <w:br/>
        <w:t xml:space="preserve">- the number of training sessions on competition law that took place and the number of participants in these sessions; </w:t>
        <w:br/>
        <w:t xml:space="preserve">- the number of alerts received by the mediator and the follow-up given by the mediator to these alerts and, if applicable, by the General Management; </w:t>
        <w:br/>
        <w:t xml:space="preserve">- the number of alerts concerning the compatibility of responses to calls for tenders with competition law rules, addressed to the General Management by the regional directors and, if applicable, the follow-up given by the General Management; </w:t>
        <w:br/>
        <w:t xml:space="preserve">An annex to this report will include the documents established by the organizations responsible for granting certifications, referred to in the previous point. </w:t>
        <w:br/>
        <w:t>This report will be sent to the Competition Authority during the five calendar years following the notification to Onet Services of the decision to be made by the Competition Authority. In the following years, this report will be sent to the Competition Authority upon its express request.</w:t>
      </w:r>
    </w:p>
    <w:p>
      <w:r>
        <w:t xml:space="preserve">- Furthermore, the documents relating to the implementation of the commitments made will be retained for a period of five years in compliance with regulations in order to continue to ensure their materiality and, as necessary, justify them. </w:t>
        <w:br/>
        <w:t xml:space="preserve">51. To take into account the non-contestation of the grievances and commitments made by Onet Services, the Deputy General Rapporteur proposed that any sanction incurred be reduced by a proportion ranging from 20 to 30% of the amount that would have normally been imposed. </w:t>
        <w:br/>
        <w:t xml:space="preserve">2. THE COMMITMENTS OF SPID, SPID ANJOU, AND HAUTE MAYENNE SERVICES </w:t>
        <w:br/>
        <w:t xml:space="preserve">52. For the implementation of III of Article L. 464-2 of the Commercial Code, the companies Spid, Spid Anjou, and Haute Mayenne Services have made the following commitments by minutes dated February 5, 2008: </w:t>
        <w:br/>
        <w:t xml:space="preserve">a) Regarding training and awareness of compliance with competition law rules: </w:t>
        <w:br/>
        <w:t xml:space="preserve">Spid (or Spid Anjou or Haute Mayenne Services) commits to organize each year a training action for all managerial employees of the company on compliance with French and community competition rules. This training will be implemented with the help of specialists in competition law. </w:t>
        <w:br/>
        <w:t xml:space="preserve">Like any training, it will result in the establishment of an attendance sheet certifying the individuals who have received this training and will conclude with the delivery of a summary document on the behavior to be observed. </w:t>
        <w:br/>
        <w:t xml:space="preserve">b) Establishment of a circular aimed at reminding all personnel of the company of the competition law rules that must be respected in their activity. </w:t>
        <w:br/>
        <w:t xml:space="preserve">c) Regarding employment contracts </w:t>
        <w:br/>
        <w:t xml:space="preserve">Spid (or Spid Anjou or Haute Mayenne Services) also commits to include in the employment contracts that will be concluded in the future with new employees as well as in existing employment contracts a provision reminding those in contact with clients and competitors that participation in an anti-competitive agreement is likely to constitute serious misconduct that may lead to the dismissal of its author. </w:t>
        <w:br/>
        <w:t xml:space="preserve">d) Regarding the implementation of a professional alert system </w:t>
        <w:br/>
        <w:t>Spid (or Spid Anjou or Haute Mayenne Services) commits to appoint a mediator by its general assembly responsible in particular for establishing a telephone line...</w:t>
      </w:r>
    </w:p>
    <w:p>
      <w:r>
        <w:rPr>
          <w:b/>
        </w:rPr>
        <w:t>[Pages 16–18]</w:t>
      </w:r>
    </w:p>
    <w:p>
      <w:r>
        <w:t>or an email address allowing any employee of the company to inform him confidentially of any anti-competitive practices of which he may be aware. This mediator may conduct any audit on the facts brought to his attention and must submit his report to the general management of the concerned company. This measure will be integrated into the quality certification procedure currently being developed within Spid (or Spid Anjou or Haute Mayenne Services), and the proposed mediator is the collaborator in charge of monitoring this quality procedure within the holding structure (SARL APROLLIANCE) and directly reporting to the general management. This measure must also be authorized by the CNIL. This procedure will, of course, be communicated to all personnel of the company. Spid (or Spid Anjou or Haute Mayenne Services) also commits to keeping the mediator's working documents for a period of five years. Spid (or Spid Anjou or Haute Mayenne Services) commits, in order to ensure the control of compliance with the commitments made, to transmit during the first quarter of each year to the Competition Council the documents justifying the reality of the implementation of the commitments, namely:</w:t>
        <w:br/>
        <w:t>- attendance sheet for the training sessions,</w:t>
        <w:br/>
        <w:t>- copy of the summary document provided at the end of the training,</w:t>
        <w:br/>
        <w:t>- a copy of an employment contract incorporating the new clause inserted,</w:t>
        <w:br/>
        <w:t>- report from the appointed mediator.</w:t>
      </w:r>
    </w:p>
    <w:p>
      <w:r>
        <w:t>53. To take into account the non-contestation of the grievances and commitments made by the companies Spid, Spid Anjou, and Haute Mayenne Services at the time of signing the minutes, the deputy general rapporteur proposed that the sanction potentially incurred by each of them be reduced by a proportion ranging from 20 to 30% of the amount that would normally have been imposed on them.</w:t>
      </w:r>
    </w:p>
    <w:p>
      <w:r>
        <w:t>II. Discussion</w:t>
        <w:br/>
        <w:t>A. ON THE APPLICATION OF COMMUNITY LAW</w:t>
        <w:br/>
        <w:t xml:space="preserve">54. The grievance was notified on the basis of Article L. 420-1 of the Commercial Code and Article 81 of the Treaty. </w:t>
        <w:br/>
        <w:t>55. As the Council recalled in its decisions No. 06-D-09 and No. 06-D-37, three elements must be demonstrated to establish that the practices are likely to have significantly affected intra-community trade: the existence of exchanges between member states concerning the products subject to the practice, the existence of practices likely to affect these exchanges, and the sensitive nature of this possible effect.</w:t>
      </w:r>
    </w:p>
    <w:p>
      <w:r>
        <w:t>56. Regarding the first two elements, it is noted that the disputed market was the subject of a consultation notice published on February 5, 2003, in the OJEC. Although no foreign company actually submitted a bid, the publicity of the market nonetheless opened the possibility for them to respond to the call for tenders. The practice of submitting concerted and coordinated bids was therefore likely to affect intra-community trade for this market.</w:t>
      </w:r>
    </w:p>
    <w:p>
      <w:r>
        <w:t>57. Regarding the third element, the assessment of the sensitive nature depends on the circumstances of each case, and notably on the nature of the agreement or practice, the nature of the products concerned, and the market position of the companies involved.</w:t>
      </w:r>
    </w:p>
    <w:p>
      <w:r>
        <w:t>58. In this case, the practice was implemented by the national leader in industrial cleaning operating in multiple geographical markets. The sensitive nature of the practice potentially affecting exchanges between member states is therefore established.</w:t>
      </w:r>
    </w:p>
    <w:p>
      <w:r>
        <w:t>59. It is therefore appropriate to qualify it on the dual basis of Article L. 420-1 of the Commercial Code and Article 81 of the Treaty.</w:t>
      </w:r>
    </w:p>
    <w:p>
      <w:r>
        <w:t>B. ON THE PRACTICES</w:t>
        <w:br/>
        <w:t>60. It emerges from the preliminary investigation by the DDCCRF and the documents seized by the investigators during their searches that in the context of the call for tenders launched by the O.P.D.H.L.M. of Mayenne, the company Onet Services on the one hand and the companies Spid, Spid Anjou, and Haute Mayenne Services on the other hand, deliberately coordinated the level and structure of their offers, exchanged information prior to their submission to promote this coordination, positioned their respective offers in order to make the offers of the Spid group appear more advantageous, and consequently artificially and significantly increased the price of cleaning services passed on in the rental charges of tenants in the assisted sector. Although the effect on prices is concentrated on the lots whose holder has been renewed (lots 1 to 3), there is no need to distinguish according to the effect, since the correlations of the offers and the exchanges of information prior to the submission of the offers affect all lots and, in any case, the practices that result from them are condemnable by their very object, regardless of their anti-competitive effect. The contracting authority was doubly deceived, on the one hand by the appearance of autonomy between the offers of Onet and Spid, and on the other hand by the discrepancy between the volumes of hours of work justifying the Spid offer and the actual volumes provided during execution.</w:t>
      </w:r>
    </w:p>
    <w:p>
      <w:r>
        <w:t>61. These facts, neither the materiality, nor the qualification or the attribution are contested by the companies involved, constitute a prohibited agreement under Article L. 420-1 of the Commercial Code and Article 81 of the Treaty.</w:t>
      </w:r>
    </w:p>
    <w:p>
      <w:r>
        <w:t>C. ON THE SANCTIONS</w:t>
        <w:br/>
        <w:t>1. REGARDING THE GRAVITY OF THE PRACTICES</w:t>
        <w:br/>
        <w:t>62. As the Council recalls in its decision-making practice, agreements made during calls for tenders are of a particularly serious nature since they limit the intensity of the competitive pressure to which the companies would have been subjected if they had acted independently. The Council emphasizes that only compliance with competition rules in this area guarantees the public buyer the sincerity of the call for tenders and the proper use of public money. The success achieved by the companies of the Spid group thanks to the coverage offer submitted by Onet Services, its most serious competitor for all lots, demonstrates the seriousness of a practice that, by eliminating competition between the two companies, leads to the result they agreed upon.</w:t>
      </w:r>
    </w:p>
    <w:p>
      <w:r>
        <w:t>63. Furthermore, the duration of the practice is a criterion to be taken into account when assessing the gravity of the infringement. As the Council specifies in its decision No. 07-D-27: "if the anti-competitive agreement, materialized by meetings and exchanges of information between competitors, took shape relatively quickly to be sealed before the submission of the offers, it is not this duration criterion that should be taken into account to assess the gravity of the practices, but rather the time during which prices and market shares escaped, due to this agreement, from the normal play that would have resulted from undistorted competition from the outset. This period extended in total from February 1, 2002, to May 31, 2004, or 28 months, a duration that cannot be qualified as 'low' as claimed by the companies involved." We are here in the presence of a small-scale cleaning services market but which was concluded for a duration of three years and amounted to a total of approximately 800,000 euros.</w:t>
      </w:r>
    </w:p>
    <w:p>
      <w:r>
        <w:t>64. The modest size of the affected market, even taking into account the duration during which the practice had an effect, does not constitute a mitigating factor for the gravity of the companies' behavior, as it appears necessary to deter companies from violating competition rules in public markets, regardless of the size of the market. To make this deterrence effective, it is necessary to consider, in the circumstances of the case, on the one hand the size of the companies involved, and on the other hand the profit made by the company that won the contract.</w:t>
      </w:r>
    </w:p>
    <w:p>
      <w:r>
        <w:t>65. The gravity of the practice also results from the fact that the tenant of the HLM is the final consumer of the cleaning services for the common areas and had to pay this element of the rental charges inherent to his lease during the execution of the contract.</w:t>
      </w:r>
    </w:p>
    <w:p>
      <w:r>
        <w:t>66. Onet Services contests the captive nature of the demand for cleaning services, which is not directly expressed by the final consumer but by a clientele, in this case the HLM Office, capable of assessing the value of the requested services and drawing the consequences, by renewing or not the call for tenders. It considers that this case differs from those in which a price agreement directly affects the demand of final consumers in a position of weakness (funeral services, essential goods).</w:t>
      </w:r>
    </w:p>
    <w:p>
      <w:r>
        <w:rPr>
          <w:b/>
        </w:rPr>
        <w:t>[Pages 19–21]</w:t>
      </w:r>
    </w:p>
    <w:p>
      <w:r>
        <w:t>l’Office n’est pas démontrée. En effet, les conditions d’exécution du marché précédent, bien que critiquées, ne suffisent pas à établir que les prix étaient anormalement bas ou que la qualité des prestations était insuffisante.</w:t>
      </w:r>
    </w:p>
    <w:p>
      <w:r>
        <w:t>83. En second lieu, l’offre moyenne par logement, bien qu’elle puisse être un indicateur pertinent, ne doit pas occulter le fait que l’estimation de l’Office repose sur des données historiques qui, par nature, peuvent ne pas refléter les réalités actuelles du marché. La comparaison entre l’offre Spid et l’estimation de l’Office doit donc être faite avec prudence, en tenant compte des spécificités de chaque lot et des conditions de marché au moment de l’appel d’offres.</w:t>
      </w:r>
    </w:p>
    <w:p>
      <w:r>
        <w:t>84. Enfin, en ce qui concerne la position de l’offre Spid par rapport au prix de concurrence, il est essentiel de considérer non seulement les marchés antérieurs mais également les tendances du marché actuel. L’analyse doit inclure une évaluation des pratiques de tarification des autres opérateurs sur le marché, afin de déterminer si l’offre Spid se situe effectivement à un niveau concurrentiel ou si elle est influencée par les pratiques anticoncurrentielles en question.</w:t>
      </w:r>
    </w:p>
    <w:p>
      <w:r>
        <w:t>85. En conclusion, le dommage à l’économie causé par l’entente entre Onet Services et le groupe Spid est avéré, tant par l’impact sur la concurrence que par les conséquences financières pour les consommateurs finaux. Les éléments quantitatifs du dommage doivent être pris en compte dans leur ensemble, sans se limiter à une analyse restreinte des seuls lots concernés par l’augmentation des coûts.</w:t>
      </w:r>
    </w:p>
    <w:p>
      <w:r>
        <w:rPr>
          <w:b/>
        </w:rPr>
        <w:t>[Pages 22–24]</w:t>
      </w:r>
    </w:p>
    <w:p>
      <w:r>
        <w:t>l'Office and would validate that of Spid for lots 1 to 3 is not demonstrated. The assumption of the insufficiency of the number of hours underlying this demonstration is not admissible, given that the number of hours actually performed in the new contract is ultimately not far from that estimated by l'Office and that the number of hours proposed by Spid in the disputed contract turns out to be abusively re-evaluated. Furthermore, the shortcomings of the company SND, reported on sites of lot 1 of the previous contract, were more related to the qualitative aspect of the services as evidenced by the warning letters from l'Office as well as the measured assessment of the head of contracts of the OPHLM of Mayenne, who mentions "a potentially too low number of hours in the new contract." The necessity for a re-evaluation of the contract in value is not supported by any study confirming an increase in the hourly rate, justified by an adaptation of the services to the level required by the specifications.</w:t>
      </w:r>
    </w:p>
    <w:p>
      <w:r>
        <w:t>83. Secondly, the thesis that the average cost of offers per housing would reflect the market value more than the estimate of l'Office is methodologically contestable, as market value cannot result solely from the level of offers. Moreover, the average value per housing of the offers for lots 2 and 3 relies solely on the offers of the parties to the agreement, whose anti-competitive nature is established. Additionally, the exclusion for the determination of the average offer for lots 1 to 4 of the lowest offer (SND) is not justified if that of Renosol is retained. Finally, the estimate of l'Office appears consistent when referring to a comparison by lot of the hourly rate of the estimate.</w:t>
      </w:r>
    </w:p>
    <w:p>
      <w:r>
        <w:t>84. Thirdly, it is artificial due to the autonomy of the calls for tenders and methodologically inconsistent to want to justify the competitive nature of the Spid offer for the disputed contract based on the billed values of the previous contract for lots 4 and 5, the market value of 2006 for lots 2 and 3, and the 2003 value of the Renosol offer for lot 1, on the grounds that the 2000-2003 and 2006-2008 contracts would be fully competitive and that the Renosol offer would be established outside the agreement.</w:t>
      </w:r>
    </w:p>
    <w:p>
      <w:r>
        <w:t>85. In particular, the decrease in the amount of the Spid 2003 offer compared to the billed values by Spid under the 2000-2003 contract for lots 4 and 5 can be explained by the reduction in the scope between the old and the new contract. It is recalled that "compared to the 2000-2003 contract, l'Office has taken over part of Château-Gontier-Bazouges, namely 400 housing units previously maintained by Spid during the 2000-2003 period." If one considers that the estimate of l'Office constitutes an approximation of the value of the old contract and if one refers to the cost of cleaning per housing calculated by Onet in its observations for lot 4, it is noted that the modification of the scope has not been reflected since the cost difference related to this reduction in scope (€45,200) is unrelated to the reduction in the cost of the offers (€244 according to table 26 of the notification of grievances). The negative difference compared to the estimate thus actually masks an increase in unit costs due to the restriction of the maintained scope. Furthermore, the justification within the same contract of the Spid offer for lot 1 by a higher Renosol offer, supposedly independent, is ineffective, since the SND offer, which can also be assumed to be independent, as it is outside the agreement, is not taken into account. Regarding lots 2 and 3, the increase observed between the market values of 2006 and 2003 reflects a ratchet effect, the non-competitive market price implicitly serving as a reference for determining the revised values of the new contract.</w:t>
      </w:r>
    </w:p>
    <w:p>
      <w:r>
        <w:t>86. Finally, it is not established that the Spid 2003 offer is at the level of the competitive price, compared to similar past contracts by Onet. Besides the fact that the average cost of offers is in this case a non-relevant value for the approach to the competitive price and that each contract is autonomous, the reference to the increase in prices of past contracts by the General Council of Mayenne is contestable, particularly because in the case of the 2003 contract awarded to Spid, the scope of the contract is not constant and the qualitative improvement of the services is not demonstrated. Invoking the increase in prices of contracts also contradicts the statements of the Spid manager who highlighted the downward trend in the cleaning services market when a change of holder occurs in compliance with competition rules (§ 50).</w:t>
      </w:r>
    </w:p>
    <w:p>
      <w:r>
        <w:t>87. In light of the above elements, it is therefore well established that the increase in the price of services can have no other explanation than the disputed practices.</w:t>
      </w:r>
    </w:p>
    <w:p>
      <w:r>
        <w:t>88. The damage to the economy is all the more significant given the low sensitivity of demand to prices. It is indeed observed that when the price increase leads to little variation in the quantities purchased, the damage is essentially constituted by the overprice paid by consumers, to the benefit of the companies that have increased prices, and the practice is all the more profitable for them. The company's super-profit is then almost equal to the loss of consumer surplus. Consequently, practices that result in increasing the price of essential goods or for which demand is inelastic are considered by the case law as particularly harmful.</w:t>
      </w:r>
    </w:p>
    <w:p>
      <w:r>
        <w:t>89. In this case, the indirect demand for cleaning services for common areas by tenants is inelastic to price variations attributable to the agreement, given that consumers are captive due to the rental charges inherent to the ongoing leases, that rents and rental charges constitute essential expenses, that the clientele is all the more dependent as they benefit from subsidized rents that have no equivalent in the commercial sector, and finally that the price increase has been mechanically passed on by l'Office, resulting in no sharing of the effect of the practices between the owner and tenants. The practices have therefore been particularly harmful to the final consumer.</w:t>
      </w:r>
    </w:p>
    <w:p>
      <w:r>
        <w:t>90. It follows from the above that the anti-competitive practices implemented by Onet Services and by the companies of the Spid group have caused significant damage to the economy and are of particular severity. The sanction must be determined based on the particular situation of each party to the agreement: one, the company Onet Services has played a decisive role in the modestly sized market due to its position as a global company, the other represented by the companies of the Spid group has seen its offers accepted for a significantly overvalued amount as demonstrated.</w:t>
      </w:r>
    </w:p>
    <w:p>
      <w:r>
        <w:t>3. REGARDING THE RECIDIVISM OF PRACTICES BY ONET SERVICES</w:t>
      </w:r>
    </w:p>
    <w:p>
      <w:r>
        <w:t>91. The company Onet has already been sanctioned on August 30, 1983, by the Minister of Economy, Finance and Budget, upon the advice of the Competition Commission of February 24, 1983, for similar anti-competitive practices concerning ten calls for tenders. According to this advice, the considerations and the decision were adopted by the minister, "the highest sanctions (were) applied to the companies Onet (Paris region) and Entreprise Ferroviaire whose position is significant in this market and who played the most active role in the collusion" (sanctions of 120,000 F each). They were accompanied, concerning Onet and Entreprise Ferroviaire, by an injunction to publish the notice. It is specified that the group l'Entreprise Ferroviaire-SAFEN was bought by Onet in 2000 and that this company now belongs to the Multi-Service Cleaning Division of Onet just like Onet Services.</w:t>
      </w:r>
    </w:p>
    <w:p>
      <w:r>
        <w:t>92. Onet Services believes that recidivism cannot apply, as the previous conviction dates back nearly 25 years and its application would be contrary to the principle of proportionality recalled in decision no. 07-D-33 of October 15, 2007, which "invites that the time elapsed between the incriminated practices and the finding of the infringement be taken into account, particularly to assess, in light of the objective of deterrence, the propensity of the company to disregard competition rules. The recidivism of practices sanctioned twenty years ago does not call for the same response a priori as those that were sanctioned three years earlier." Onet believes that there should be no increase due to an alleged recidivism of the disputed practices.</w:t>
      </w:r>
    </w:p>
    <w:p>
      <w:r>
        <w:t>93. Onet does not dispute that disputed practices have been repeated, but only the effect of this recidivism on the level of the sanction that may be applicable.</w:t>
      </w:r>
    </w:p>
    <w:p>
      <w:r>
        <w:t>94. The practices retained in the present procedure against the company Onet Services were committed during the first quarter of 2003, almost twenty years after the company Onet was sanctioned following the advice given by the Competition Commission.</w:t>
      </w:r>
    </w:p>
    <w:p>
      <w:r>
        <w:t>95. The legislator, by not setting a limit on the period of recidivism, has left the Competition Council with a margin of appreciation in this matter. The decision invoked by Onet calls for a modulation of the sanction based on the time separating the original incriminated practice (August 1983) from the repeated practice (beginning in March 2003). It is appropriate in this case to apply a 5% increase to the base sanction before reduction.</w:t>
      </w:r>
    </w:p>
    <w:p>
      <w:r>
        <w:rPr>
          <w:b/>
        </w:rPr>
        <w:t>[Pages 25–27]</w:t>
      </w:r>
    </w:p>
    <w:p>
      <w:r>
        <w:t xml:space="preserve">4. CONCERNING THE SCOPE OF THE COMMITMENTS  </w:t>
        <w:br/>
        <w:t xml:space="preserve">98. When the procedure provided for in III of Article L. 464-2 of the Commercial Code is implemented, the Council that examines the position of the General Rapporteur regarding the adjustment of the financial penalty incurred takes into account both the non-contestation of the charges and the commitments made.  </w:t>
        <w:br/>
        <w:t xml:space="preserve">99. However, the mere renunciation to contest the charges, which primarily serves to lighten and expedite the work of the investigation by dispensing with the drafting of the report, particularly when chosen by all the parties involved, cannot lead to granting the companies involved only a flat-rate and relatively limited reduction of the penalty incurred. It is the quality of the commitments that can allow for granting more substantial countermeasures within the framework of this procedure, as indicated by the Council in its decision No. 04-D-65 of November 30, 2004: "In certain market situations, the commitments made (...) can have, for the respect of the rules of competitive play, a greater effectiveness than the penalties, particularly if these commitments reflect a substantial modification of the practices of this company and if the competition authorities are enabled to verify their effective application."  </w:t>
        <w:br/>
        <w:t xml:space="preserve">100. In the case of horizontal agreements, whether instantaneous (pre-bid consultation) or lasting (cartel), the reduction of penalties faces a double constraint. On the one hand, behavioral commitments likely to improve the functioning of the market for the future are often difficult to render credible. On the other hand, it is essential to ensure consistency between the level of reductions in financial penalties granted within the framework of the leniency program and that practiced in the context of the non-contestation of the charges.  </w:t>
        <w:br/>
        <w:t xml:space="preserve">a) Regarding the commitments made by Onet Services  </w:t>
        <w:br/>
        <w:t xml:space="preserve">101. The commitments to align the company's practices with competition rules go beyond simple internal training programs and awareness-raising for staff in charge of bids ("compliance"). Onet Services has also proposed the establishment of a professional alert system ("whistleblowing") concerning violations of competition law, the extension of the internal training system to all companies in the Multiservices Cleaning Division to which Onet Services is attached, the inclusion in future employment contracts of executive and sales staff of a provision equating personal participation in an anti-competitive agreement to a serious fault, as well as the revision of the hierarchical process of prior control of bids, so that it can serve as a filter better suited to detecting anti-competitive practices.  </w:t>
        <w:br/>
        <w:t xml:space="preserve">102. The information system regarding compliance with commitments will allow for verifying the sustainability of the commitments made before the Council for a significant duration of 5 years. The integration of compliance with the commitments made for the awarding of the ISO 9001 standard constitutes an additional guarantee of the sustainability of the system, beyond the follow-up information that must be regularly disseminated to the Council.  </w:t>
        <w:br/>
        <w:t xml:space="preserve">103. The commitments made being considered substantial, verifiable, and likely to prevent in particular the disputed practices of the same nature as those that the Council intends to sanction in this case, a reduction of 20% of the base penalty, incurred after a 5% increase for reiteration, is granted to Onet Services.  </w:t>
        <w:br/>
        <w:t xml:space="preserve">b) Regarding the commitments made by the companies Spid, Spid Anjou, and Haute Mayenne Services  </w:t>
        <w:br/>
        <w:t xml:space="preserve">104. The commitments to align the company's practices with competition rules go beyond simple internal training programs and awareness-raising for staff in charge of bids ("compliance"). The companies of the Spid group have also proposed the establishment of a professional alert system ("whistleblowing") concerning violations of competition law as well as the inclusion, in the employment contracts concluded by managers in relation to customers, of a provision equating personal participation in an anti-competitive agreement to a serious fault.  </w:t>
        <w:br/>
        <w:t xml:space="preserve">105. The information system regarding compliance with commitments will allow for verifying the sustainability of the commitments made before the Council for a significant duration of 5 years.  </w:t>
        <w:br/>
        <w:t xml:space="preserve">106. The commitments made by the companies of the Spid group that are related to the dimension of each concerned company are considered substantial, verifiable, and likely to prevent in particular the disputed practices of the same nature as those that the Council intends to sanction in this case. A reduction of 20% of the base penalty incurred is granted to the companies of the Spid group.  </w:t>
        <w:br/>
        <w:t xml:space="preserve">5. ON THE CEILING OF SANCTIONS  </w:t>
        <w:br/>
        <w:t xml:space="preserve">107. It is established that Onet Services on the one hand and the companies of the Spid group on the other hand (Spid, Spid Anjou, and Haute Mayenne Services) submitted coordinated bids during the call for tenders launched on January 24, 2003, by the OPDHLM of Mayenne, made possible by exchanges of information prior to the submission of bids, and that the offer from Onet Services has the characteristics of a cover offer. This constitutes an infringement that began after the date of entry into force of Law No. 2001-420 of May 15, 2001, relating to new economic regulations. It follows that the provisions of Book IV of the Commercial Code applicable to the charge are those resulting from this law.  </w:t>
        <w:br/>
        <w:t xml:space="preserve">108. I of Article L. 464-2 of the Commercial Code, in its wording resulting from the law of May 15, 2001, applicable to this case, states: "The maximum amount of the penalty is, for a company, 10% of the highest amount of global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109. III of Article L. 464-2 of the Commercial Code, already cited, provides that when the procedure of non-contestation of the charges followed by commitments is used, "the maximum amount incurred is reduced by half."  </w:t>
        <w:br/>
        <w:t xml:space="preserve">110. The highest turnover to be taken into account for the financial years 2002 to 2006 corresponds to the turnover of the 2006 financial year in the consolidated accounts of Onet. It amounts to 1,144.8 million euros and to 464 million euros for Onet Services. Given these elements, the normally applicable penalty ceiling, equal to 10% of the consolidated turnover, is 114 million euros. By applying the provisions of III of Article L. 464-2 of the Commercial Code, the legal ceiling of the applicable penalty is reduced to 5% of this turnover, i.e., 57 million euros.  </w:t>
        <w:br/>
        <w:t xml:space="preserve">111. The Spid group does not consolidate its accounts. It is therefore necessary to take into account the turnovers - the highest among those that can be retained for the period 2002 to 2006 - of each company involved for the calculation of the individual penalty ceiling.  </w:t>
        <w:br/>
        <w:t xml:space="preserve">112. The turnover of Spid, achieved during the financial year ending December 31, 2006, amounts to 2,874,530 euros. By applying the provisions of III of Article L. 464-2 of the Commercial Code, the legal ceiling of the applicable penalty is reduced to 5% of this turnover, i.e., 143,726 euros.  </w:t>
        <w:br/>
        <w:t xml:space="preserve">113. The turnover of Spid Anjou, achieved during the financial year ending December 31, 2006, amounts to 937,864 euros. By applying the provisions of III of Article L. 464-2 of the Commercial Code, the legal ceiling of the applicable penalty is reduced to 5% of this turnover, i.e., 46,893 euros.  </w:t>
        <w:br/>
        <w:t xml:space="preserve">114. The turnover of Haute Mayenne Services, achieved during the financial year ending December 31, 2006, amounts to 1,255,136 euros. By applying the provisions of III of Article L. 464-2 of the Commercial Code, the legal ceiling of the applicable penalty is reduced to 5% of this turnover, i.e., 62,756 euros.  </w:t>
        <w:br/>
        <w:t xml:space="preserve">6. ON THE AMOUNT OF SANCTIONS  </w:t>
        <w:br/>
        <w:t xml:space="preserve">115. Based on the general and individual elements as they have been assessed, as well as the 5% increase for the reiteration of practices, the amount of the financial penalty imposed on Onet Services, which achieved a turnover of 464,003,734 euros in 2006, would have been 1,950,000 euros. To take into account the absence of contestation of the charges and the commitments made, this amount is reduced to 1,560,000 euros.  </w:t>
        <w:br/>
        <w:t xml:space="preserve">116. Based on the general and individual elements as they have been assessed, the amount of the financial penalty imposed on Spid, which achieved a turnover of 2,874,530 euros in 2006, would have been 86,230 euros. To take into account the absence of contestation of the charges and the commitments made, this amount is reduced to 68,000 euros.  </w:t>
        <w:br/>
        <w:t xml:space="preserve">117. Based on the general and individual elements as they have been assessed, the amount of the financial penalty imposed on Spid Anjou, which achieved a turnover of 937,864 euros in 2006, would have been 28,130 euros. To take into account the absence of contestation of the charges and the commitments made, this amount is reduced to 22,000 euros.  </w:t>
        <w:br/>
        <w:t>118. Based on the general and individual elements as they have been assessed, the amount of the financial penalty imposed on Haute Mayenne Services, which achieved a turnover of 1,255,136 euros in 2006, would have been 37,650 euros. To take into account the absence of contestation of the charges and the commitments made, this amount is reduced to 30,000 euros.</w:t>
      </w:r>
    </w:p>
    <w:p>
      <w:r>
        <w:rPr>
          <w:b/>
        </w:rPr>
        <w:t>[Pages 28–28]</w:t>
      </w:r>
    </w:p>
    <w:p>
      <w:r>
        <w:t xml:space="preserve">DECISION  </w:t>
        <w:br/>
        <w:t xml:space="preserve">Article 1: It is established that the companies Onet Services, Spid, Spid Anjou, and Haute Mayenne Services have violated the provisions of Article L. 420-1 of the Commercial Code and Article 81 of the EC Treaty.  </w:t>
        <w:br/>
        <w:t xml:space="preserve">Article 2: The following financial penalties are imposed:  </w:t>
        <w:br/>
        <w:t xml:space="preserve">• on the company Onet Services a penalty of 1,560,000 euros;  </w:t>
        <w:br/>
        <w:t xml:space="preserve">• on the company Spid a penalty of 68,000 euros;  </w:t>
        <w:br/>
        <w:t xml:space="preserve">• on the company Spid Anjou a penalty of 22,000 euros;  </w:t>
        <w:br/>
        <w:t xml:space="preserve">• on the company Haute Mayenne Services a penalty of 30,000 euros.  </w:t>
        <w:br/>
        <w:t xml:space="preserve">Deliberated on the oral report of Mr. Vaury, by Ms. Aubert, Vice-President, presiding over the session, Ms. Béhar-Touchais and Mr. Piot, members.  </w:t>
        <w:br/>
        <w:t xml:space="preserve">The session secretary, The Vice-President,  </w:t>
        <w:br/>
        <w:t xml:space="preserve">Véronique Letrado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