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https://www.autoritedelaconcurrence.fr/fr/decision/relative-des-pratiques-relevees-dans-le-secteur-de-loutillage-electroportatif</w:t>
      </w:r>
    </w:p>
    <w:p>
      <w:r>
        <w:t>Pages translated : 11</w:t>
      </w:r>
    </w:p>
    <w:p/>
    <w:p>
      <w:r>
        <w:rPr>
          <w:b/>
        </w:rPr>
        <w:t>[Pages 1–3]</w:t>
      </w:r>
    </w:p>
    <w:p>
      <w:r>
        <w:t xml:space="preserve">FRENCH REPUBLIC  </w:t>
        <w:br/>
        <w:t xml:space="preserve">Decision No. 94-D-55 of October 18, 1994.  </w:t>
        <w:br/>
        <w:t xml:space="preserve">Regarding practices observed in the sector of portable power tools.  </w:t>
        <w:br/>
        <w:t xml:space="preserve">The Competition Council (Section I),  </w:t>
        <w:br/>
        <w:t xml:space="preserve">Having regard to the letter registered on September 9, 1988, under number F 182, by which the Minister of State, Minister of Economy, Finance and Budget referred to the Competition Council the situation of competition in the sector of portable power tools;  </w:t>
        <w:br/>
        <w:t xml:space="preserve">Having regard to Ordinance No. 86-1243 of December 1, 1986, as amended, relating to price freedom and competition and Decree No. 86-1309 of December 29, 1986, as amended, taken for its application;  </w:t>
        <w:br/>
        <w:t xml:space="preserve">Having regard to the observations presented by the Government Commissioner, as well as by the companies F.B.C. Bosch, Production Outillage Electrique, Black and Decker, Métabo, Castorama, and Leroy-Merlin;  </w:t>
        <w:br/>
        <w:t xml:space="preserve">Having regard to the other documents in the file;  </w:t>
        <w:br/>
        <w:t xml:space="preserve">The rapporteur, the general rapporteur, the Government Commissioner, and the representatives of the companies F.B.C. Bosch, Production Outillage Electrique, Black and Decker, Métabo, Castorama, and Leroy-Merlin having been heard, the company Obi having been regularly summoned,  </w:t>
        <w:br/>
        <w:t xml:space="preserve">Adopts the decision based on the findings (I) and the reasons (II) set out below:  </w:t>
        <w:br/>
        <w:t xml:space="preserve">I. - FINDINGS  </w:t>
        <w:br/>
        <w:t xml:space="preserve">A. - The market  </w:t>
        <w:br/>
        <w:t xml:space="preserve">The products referred to in this decision are portable power tools. This generic term covers just over a hundred products, among which drills constitute the best-selling tool, followed by jigsaws, heat guns, sanders, grinders, and other DIY tools.  </w:t>
        <w:br/>
        <w:t xml:space="preserve">The market for portable power tools is not very dynamic, which forces manufacturers to multiply new items or processes, to ensure frequent advertising support, and to conduct an aggressive pricing policy.  </w:t>
        <w:br/>
        <w:t xml:space="preserve">The production of portable power tools is highly concentrated; the top three brands, Bosch, Black and Decker, and Peugeot, together represented nearly 80% of sales in 1988. This situation did not prevent the entry into the mass market of the company Métabo, whose equipment was previously reserved for professionals; this latter brand, which is not sold in the mass-market food distribution circuit, indeed offers better margins to specialized resellers.  </w:t>
        <w:br/>
        <w:t xml:space="preserve">These four manufacturers achieved in the year 1993 a turnover of 2,800,520,185 francs for Bosch, of which approximately 20% concerns portable power tools, 644,803,016 francs for Black and Decker, of which approximately 66% concerns portable power tools, 239,386,964 francs for Peugeot (now named Production Outillage Electrique), and 132,679,822 francs for Métabo, the latter two companies primarily producing portable power tools.  </w:t>
        <w:br/>
        <w:t xml:space="preserve">The distribution circuits are also characterized by a very high concentration, both in quantity and in value. The share of traditional hardware stores is indeed less than 10% of sales, while hypermarkets and large specialized DIY stores share more than 80% of the market, the remainder being distributed by department stores and by mail order.  </w:t>
        <w:br/>
        <w:t xml:space="preserve">The increase in sales of large specialized DIY stores is explained by the significant increase in the number of stores of this category opened over the last decade and by the extent of the choice offered to customers. The leading brand is Castorama, which, with seventy-five points of sale, accounted for approximately 8% of the distribution of portable power tools in 1988, followed by Leroy-Merlin, linked to the Auchan group with forty-four stores, or about 6.5% of the market. The company Obi, which depends on the Casino group, had sixty-two smaller stores, which distributed about 1% of the portable power tools sold in France.  </w:t>
        <w:br/>
        <w:t xml:space="preserve">These distributors achieved in the year 1993 a turnover of 8,663,354,204 francs for Castorama, 7,372,347,692 francs for Leroy-Merlin, and 883,223,000 francs for Obi, the portable power tools department representing approximately 2% of these turnover figures.  </w:t>
        <w:br/>
        <w:t xml:space="preserve">B. - The practices observed  </w:t>
        <w:br/>
        <w:t xml:space="preserve">1. The sales conditions of manufacturers  </w:t>
        <w:br/>
        <w:t xml:space="preserve">1.1. General observations  </w:t>
        <w:br/>
        <w:t xml:space="preserve">Portable power tools are frequently considered as loss leaders, both by large food retailers, of which they represent only a very small part of sales, and by large specialized DIY stores.  </w:t>
        <w:br/>
        <w:t xml:space="preserve">Given this situation, the three manufacturers selling to hypermarkets (Bosch, Black and Decker, Peugeot) have gradually established, under various names, commercial cooperation agreements providing in addition to year-end quantitative or unconditional rebates on their base price, the granting to members of large food or specialized centers, of deferred monthly, quarterly, or quadrimestral discounts.  </w:t>
        <w:br/>
        <w:t xml:space="preserve">These, negotiated annually, are intended to reward qualitative services rendered by the distributor and specified more or less precisely in the cooperation contracts. They particularly reward the specific contribution that the distributor makes through its good collaboration in selling the products: presence and promotion of the brand, participation in promotional actions; an additional advantage is generally granted to large specialized DIY stores, through the granting of a consultancy discount, demonstration, or presence of a specialized salesperson.  </w:t>
        <w:br/>
        <w:t xml:space="preserve">The application of these differentiated discounts, whether or not they correspond to the remuneration of strictly individualized services, allows distributors to guarantee 'back margins' and to avoid resales at 'cost price', by raising the threshold for selling at a loss, deemed to be the invoiced purchase price including VAT.  </w:t>
        <w:br/>
        <w:t xml:space="preserve">In contrast, the company Métabo, which is not exposed to the loss leader pricing policy of hypermarkets, has not been compelled to offer its distributors qualitative deferred discounts; however, this manufacturer has established partnership contracts, which provide for the granting of permanent discounts and strictly quantitative deferred rebates, based on the number of devices purchased or the turnover achieved.  </w:t>
        <w:br/>
        <w:t xml:space="preserve">1.2. Specific observations for each company  </w:t>
        <w:br/>
        <w:t xml:space="preserve">a) The stipulations in the various commercial cooperation contracts:  </w:t>
        <w:br/>
        <w:t xml:space="preserve">The companies Bosch, Peugeot, and Black and Decker have included in their commercial cooperation agreements stipulations subordinating the granting of deferred cooperation discounts to compliance with the so-called qualitative clauses listed therein.  </w:t>
        <w:br/>
        <w:t xml:space="preserve">These provisions were formulated in the following terms:  </w:t>
        <w:br/>
        <w:t xml:space="preserve">Regarding the company Bosch (Art. 3 of the standard contract):  </w:t>
        <w:br/>
        <w:t xml:space="preserve">'The company FBC/Bosch reserves the right to notify the company... of any breaches of the qualitative clauses possibly observed in one or more of its stores, in order to challenge the granting of the commercial cooperation discount.'  </w:t>
        <w:br/>
        <w:t xml:space="preserve">Regarding the company Peugeot, a contract made in September 1987 with the purchasing center of the company Carrefour included a clause stating that an unconditional deferred cooperation discount should 'not be included in the price'.  </w:t>
        <w:br/>
        <w:t xml:space="preserve">The company Black and Decker, for its part, had included in its 'short-term' and 'year-end' cooperation contracts the deferred granting of discounts, differentiated according to qualitative criteria such as 'presence of the brand in all points of sale', 'good commercial collaboration', or 'respect for the brand'. However, in several contractual documents in the instruction file, additional mentions clarified what was meant by these expressions: thus, under the heading 'good collaboration', it should be read: 'compliance with price legislation' or 'prohibition of selling at a loss' (conditions imposed on the companies Castorama and Paridoc for 1986/87), and under the heading 'respect for the brand', it should be read: 'no selling at a loss except in case of alignment with the competition' (contract with the Samod center for 1987). The 'application of recommended resale prices' was also explicitly among the conditions for access to the deferred discount of 9% granted by Black and Decker on the turnover specific to this range of products.  </w:t>
        <w:br/>
        <w:t>The partnership agreements of the manufacturer Métabo subordinated the granting to distributors of a quantitative deferred discount and an unconditional year-end rebate, to 'compliance with a policy organized by Métabo for the monitoring of its policy.</w:t>
      </w:r>
    </w:p>
    <w:p>
      <w:r>
        <w:rPr>
          <w:b/>
        </w:rPr>
        <w:t>[Pages 4–6]</w:t>
      </w:r>
    </w:p>
    <w:p>
      <w:r>
        <w:t>commercial' in the following terms: 'Metabo intervenes effectively whenever a distributor displays behavior that is not in compliance with Metabo's policy' (sections 5.1 and 5.5 of the partnership);</w:t>
      </w:r>
    </w:p>
    <w:p>
      <w:r>
        <w:t>b) The interventions of certain manufacturers with their distributors;</w:t>
      </w:r>
    </w:p>
    <w:p>
      <w:r>
        <w:t>One of the characteristics of the leisure power tool market is the absence of commercial intermediaries between suppliers and distributors. This situation has facilitated interventions by manufacturers, either spontaneously or at the request of certain resellers, to enforce a minimum resale price by all distributors. Interventions of this nature have been carried out by Bosch and Metabo companies. Bosch has thus opposed by various means that deferred discounts be fully or partially integrated into the retail prices of its branded devices. During the end-of-year promotional campaign in 1986, organized by a purchasing center whose promotions had been announced in advertising brochures, several Bosch branded devices involved in this operation were delivered in quantities far lower than those ordered by this center for its stores, despite prior guarantees given on the existence of sufficient stocks. Several documents seized by investigators demonstrated that this was a retaliatory measure against this center, whose members refused to follow the pricing policy recommended by their supplier. In 1987, when questioned by Castorama, Bosch again intervened with another distributor to request a modification of a promotional price announced in a newspaper, which took into account part of the deferred discount. The manager of this chain stated that he complied with this request and published a correction, which raised the concerned price, calculated without considering this discount. During the same period, Metabo, also following an inquiry from Castorama, sent several telexes to Leroy-Merlin, asking for clarifications on resale prices it was practicing that appeared to be lower than those that should have resulted from the application of the margin coefficient in the partnership agreement. Similarly, in preparing for the end-of-year promotional sales campaign in 1987, Metabo reminded the distributor Obi by fax what the 'commonly practiced price' should be, 'in the context of the terms of the partnership,' for the two devices offered for sale, taking into account their promotional purchase price. In contrast, no such actions were noted against Peugeot and Black and Decker companies.</w:t>
      </w:r>
    </w:p>
    <w:p>
      <w:r>
        <w:t>2. The attitude of the distributors</w:t>
      </w:r>
    </w:p>
    <w:p>
      <w:r>
        <w:t>2.1. Common observation: adherence to the partnership proposed by Metabo</w:t>
      </w:r>
    </w:p>
    <w:p>
      <w:r>
        <w:t>During the months of January and February 1987, Metabo communicated its cooperation conditions for 1987 to distributors Castorama, Leroy-Merlin, and Obi. In these three partnership agreements, the 'compliance with a minimum coefficient of 1.50 on invoiced prices' was associated with the granting of quantitative and unconditional deferred discounts granted by the manufacturer, all of these clauses being included in the same chapter of the agreements. This commitment was not contested by the distributors, who placed their orders and received the discounts provided for in this partnership agreement.</w:t>
      </w:r>
    </w:p>
    <w:p>
      <w:r>
        <w:t>2.2. Specific observations regarding Castorama: interventions with suppliers Bosch and Metabo</w:t>
      </w:r>
    </w:p>
    <w:p>
      <w:r>
        <w:t>As previously stated in B, 1.2, b above, Castorama intervened several times during the year 1987 with manufacturers Bosch and Metabo to request clarifications on the prices practiced by its competitors when they seemed to calculate their selling prices by taking into account part of the deferred discounts granted by Bosch or applying a margin lower than that imposed by Metabo. These inquiries were followed by the manufacturer's intervention, and in two cases, it was established that this led to the publication of a price modification by the concerned distributor.</w:t>
      </w:r>
    </w:p>
    <w:p>
      <w:r>
        <w:t>II. - BASED ON THE PREVIOUS FINDINGS, THE COUNCIL</w:t>
      </w:r>
    </w:p>
    <w:p>
      <w:r>
        <w:t>On the procedure:</w:t>
      </w:r>
    </w:p>
    <w:p>
      <w:r>
        <w:t>Regarding the sending of a supplementary notification of grievances after the notification of the report:</w:t>
      </w:r>
    </w:p>
    <w:p>
      <w:r>
        <w:t>Considering that Castorama argues that the fact of sending it a supplementary notification of grievances after the report was sent constitutes an abuse of procedure contrary to the fundamental rights of defense;</w:t>
      </w:r>
    </w:p>
    <w:p>
      <w:r>
        <w:t>But considering that no provision of the ordinance of December 1, 1986, and its implementing decree of December 23, 1986, the only texts applicable to the procedure followed before the Competition Council, prohibits its president from sending a supplementary notification of grievances to the parties, even after sending the report; that therefore, notably, since they have, in accordance with the provisions of Article 21 of the aforementioned ordinance, a period of two months to consult the file and present their observations, followed by an identical period to present a response to the supplementary report subsequently sent to them, such a supplementary notification of grievances does not infringe either the principle of contradiction or the guarantees of defense;</w:t>
      </w:r>
    </w:p>
    <w:p>
      <w:r>
        <w:t>Regarding the deadlines:</w:t>
      </w:r>
    </w:p>
    <w:p>
      <w:r>
        <w:t>Considering that it has not been demonstrated, contrary to what Castorama also argues, how the time that elapsed between the occurrence of the alleged facts and their examination by the Council would have infringed the rights of defense; that it cannot therefore be argued that the parties were unable to have their case heard within a reasonable time in the sense of Article 6 of the European Convention on Human Rights and Fundamental Freedoms; that in any case, this argument is ineffective;</w:t>
      </w:r>
    </w:p>
    <w:p>
      <w:r>
        <w:t>On the observed practices:</w:t>
      </w:r>
    </w:p>
    <w:p>
      <w:r>
        <w:t>Regarding the allocation by manufacturers of deferred discounts linked to the acceptance of a cooperation agreement deterring resellers from incorporating them into the resale price:</w:t>
      </w:r>
    </w:p>
    <w:p>
      <w:r>
        <w:t>Considering that the ordinance of December 1, 1986, explicitly provides the possibility for a supplier to remunerate the specific services that its distributor may render; that the agreement of both partners on the terms of a commercial cooperation contract stipulating that the allocation of deferred discounts is linked to the achievement of quantitative objectives or qualitative services is not, in itself, contrary to competition law;</w:t>
      </w:r>
    </w:p>
    <w:p>
      <w:r>
        <w:t>But considering that the inclusion in these contracts of clauses directly or indirectly limiting the freedom of distributors to set their prices constitutes an anti-competitive practice; such is notably the case of provisions that set a minimum margin rate for resale, that prohibit the integration of unconditional deferred discounts into prices, or clauses known as 'penalty' clauses that give the manufacturer the possibility to eliminate commercial cooperation discounts if it believes there has been resale at a loss; such is also the case of provisions whose wording aims to allow subsequent interventions by the manufacturer in the pricing policy of its distributor;</w:t>
      </w:r>
    </w:p>
    <w:p>
      <w:r>
        <w:t>Considering that it is established that the manufacturers in question have inserted one or another of these clauses prohibited by Article 7 of the aforementioned ordinance into their cooperation agreements and that some have also ensured their effective application;</w:t>
      </w:r>
    </w:p>
    <w:p>
      <w:r>
        <w:t>Considering thus that the clauses included in the contracts of Peugeot and Black and Decker companies cited in paragraph 1, 2, a of B of this decision are objectionable in that they explicitly limited the freedom of resellers to incorporate deferred discounts, even unconditional ones (contract made in September 1987 between Peugeot and Samod), provided for the application of a price set by the supplier (recommended retail price of Black and Decker), or allowed the latter to assess a posteriori the threshold for resale at a loss, which could deter distributors from incorporating the deferred discounts granted to them into their resale prices (contracts established for the 1987 campaign between Black and Decker on one hand, and Castorama, Paridoc, and Samod on the other hand);</w:t>
      </w:r>
    </w:p>
    <w:p>
      <w:r>
        <w:t>Considering that these two manufacturers, Peugeot and Black and Decker, argue that the prohibited clauses were not implemented and that regarding Peugeot, the criticized contract constitutes an isolated case that was modified before its entry into force following the administration's observations;</w:t>
      </w:r>
    </w:p>
    <w:p>
      <w:r>
        <w:t>But considering that the fact that an agreement did not have the effect of restricting competition cannot exempt it from the prohibition set forth in Article 7 of the ordinance of December 1, 1986, as long as it had the object and could have the effect of limiting competition; that moreover, regarding Black and Decker, the fact that some distributors practiced resale prices lower than the purchase prices excluding discounts or did not respect the recommended retail prices without being penalized, cannot suffice to establish that these clauses had no effect;</w:t>
      </w:r>
    </w:p>
    <w:p>
      <w:r>
        <w:rPr>
          <w:b/>
        </w:rPr>
        <w:t>[Pages 7–9]</w:t>
      </w:r>
    </w:p>
    <w:p>
      <w:r>
        <w:t>Considering that the Bosch company, referring to Article 3 of its commercial cooperation contract, cited in paragraph 1, 2, a of part I of this decision and whose provisions are not in themselves anti-competitive in nature, has indirectly pressured its product distributors to dissuade them from incorporating deferred discounts into their resale prices, especially since these represented for Bosch devices rates of 9.5% to 13%, which is a significant percentage of the price;</w:t>
      </w:r>
    </w:p>
    <w:p>
      <w:r>
        <w:t>Considering that while this company has argued that it was legitimate for it to verify the application of qualitative clauses before the payment of rebates, it is clear that the interpretation it made of this Article 3 allowed it, beyond the simple control of the fulfillment of the so-called qualitative commitments in question, to intervene in the pricing policy of the distributors; that such interventions have indeed been noted;</w:t>
      </w:r>
    </w:p>
    <w:p>
      <w:r>
        <w:t>Considering that the fact that the Metabo company imposes a minimum margin clause in its partnership agreements, further accompanied by threats of intervention in case of non-compliance, was likely to limit the commercial freedom of distributors and therefore constituted a provision prohibited by Article 7 of the ordinance of December 1, 1986;</w:t>
      </w:r>
    </w:p>
    <w:p>
      <w:r>
        <w:t>Considering that contrary to what this company claims, the commitment to remunerate potential demonstration services related to the technicality of its products cannot justify the imposition of a minimum margin rate;</w:t>
      </w:r>
    </w:p>
    <w:p>
      <w:r>
        <w:t>Considering that the companies Bosch and Metabo further argue that they respectively modified and suppressed the disputed documents, subsequent to the referral to the Council; that such a circumstance, if acknowledged for the future, is however without influence on the fact that these were used, at least during the year 1987;</w:t>
      </w:r>
    </w:p>
    <w:p>
      <w:r>
        <w:t>Regarding the acceptance by distributors of a clause providing for a minimum margin rate at resale:</w:t>
      </w:r>
    </w:p>
    <w:p>
      <w:r>
        <w:t>Considering that the document presented by the manufacturer Metabo and entitled 'The Partnership', even if it was not signed by the companies Castorama, Leroy-Merlin, and Obi, was explicitly or tacitly accepted by these distributors when placing orders and constitutes as such an agreement likely to affect competition in the market considered and to fall within the scope of Article 7 of the ordinance of December 1, 1986;</w:t>
      </w:r>
    </w:p>
    <w:p>
      <w:r>
        <w:t>Considering that the companies Castorama and Leroy-Merlin argue that this margin clause constituted only a simple recommendation devoid of sanction and that they were autonomous in setting their prices, as evidenced by the examples cited of resale prices lower than those prescribed by Metabo;</w:t>
      </w:r>
    </w:p>
    <w:p>
      <w:r>
        <w:t>But considering that both the expressed willingness to intervene conveyed by Metabo in its partnership agreement, and the formulation in the same chapter of this agreement of the various discounts that could be granted and the clause of compliance with a minimum coefficient on invoiced prices, aimed to dissuade resellers from violating this prescription; that therefore, the fact that distributors have in some cases freed themselves from this anti-competitive written clause does not demonstrate that it has not had an effect;</w:t>
      </w:r>
    </w:p>
    <w:p>
      <w:r>
        <w:t>Regarding the interventions of certain suppliers and a distributor in the pricing policy of other distributors:</w:t>
      </w:r>
    </w:p>
    <w:p>
      <w:r>
        <w:t>Considering that the manufacturers Bosch and Metabo intervened with their distributors under the conditions mentioned in paragraph 1.2, b, of part I of this decision to oppose the application by these latter of resale prices not conforming to those they wished to see displayed; that the company Castorama, which adhered to the principle of setting a minimum margin at resale, actively participated in these prohibited practices by questioning these two suppliers about the prices practiced by competitors, in the manner described in 2.2 of part I of this decision; that such practices, even if they were not systematic and were not always followed by effect, constitute concerted actions aimed at obtaining an increase in the prices displayed by distributors and are therefore prohibited by the provisions of the ordinance of December 1, 1986;</w:t>
      </w:r>
    </w:p>
    <w:p>
      <w:r>
        <w:t>Regarding the harm caused to competition in the market:</w:t>
      </w:r>
    </w:p>
    <w:p>
      <w:r>
        <w:t>Considering that the company Castorama argues that due to the autonomy of distributors in their pricing policy and the low margins taken on power tool items, considered as loss leaders by mass distribution, both the criticized contractual stipulations and the denounced interventions have not been likely to significantly harm the functioning of competition;</w:t>
      </w:r>
    </w:p>
    <w:p>
      <w:r>
        <w:t>But considering that the circumstance that these practices may not have significantly harmed the functioning of competition is without influence on their qualification in light of the provisions of Article 7 of the ordinance of December 1, 1986, which prohibit agreements 'when they have the object or may have the effect of preventing, restricting or distorting competition in a market';</w:t>
      </w:r>
    </w:p>
    <w:p>
      <w:r>
        <w:t>Considering furthermore that these practices emanate from both the main manufacturers whose brands together represent more than 80% of the French market for power tools, and the main specialized brands in DIY, accounting for more than 15% of sales of these products;</w:t>
      </w:r>
    </w:p>
    <w:p>
      <w:r>
        <w:t>On the sanctions:</w:t>
      </w:r>
    </w:p>
    <w:p>
      <w:r>
        <w:t>Considering that under Article 13 of the ordinance; 'The Competition Council (...) may impose a monetary sanction applicable either immediately, or in case of non-compliance with injunctions. Monetary sanctions are proportionate to the seriousness of the alleged facts,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 The Competition Council may order the publication of its decision in the newspapers or publications it designates, the posting in the places it indicates (...). The costs are borne by the interested party';</w:t>
      </w:r>
    </w:p>
    <w:p>
      <w:r>
        <w:t>Considering that the damage to the economy must be assessed taking into account the generalization of the criticized practices, which involve the main brands of power tools and specialized DIY brands known to the general public;</w:t>
      </w:r>
    </w:p>
    <w:p>
      <w:r>
        <w:t>That to assess the degree of seriousness of these practices, it is necessary for each company to take into account the negotiating power it had against its commercial partners, as well as the nature and duration of the practices specifically attributed to it;</w:t>
      </w:r>
    </w:p>
    <w:p>
      <w:r>
        <w:t>Regarding the company F.B.C. Bosch:</w:t>
      </w:r>
    </w:p>
    <w:p>
      <w:r>
        <w:t>Considering that the Bosch company, which ranks first among suppliers of consumer and professional power tools and thus enjoys strong notoriety, has intervened several times with distributors to oppose the determination of prices by the free play of competition;</w:t>
      </w:r>
    </w:p>
    <w:p>
      <w:r>
        <w:t>Considering that this company achieved a turnover of 2,800,520,185 francs in 1993; that under these conditions, it is appropriate to impose a monetary sanction of 6,000,000 francs;</w:t>
      </w:r>
    </w:p>
    <w:p>
      <w:r>
        <w:t>Regarding the company Production (Peugeot) Outillage Electrique:</w:t>
      </w:r>
    </w:p>
    <w:p>
      <w:r>
        <w:t>Considering that the anti-competitive clause cited in paragraph 1.2, a, of part I of this decision, appearing in the contract entered into by the company Production Outillage Electrique with the Samod central purchasing group, was not included in the contracts usually signed by this company, which did not intervene in the pricing policy of its resellers; that the removal of this provision before its entry into force further limits the effective scope it could have had on the market;</w:t>
      </w:r>
    </w:p>
    <w:p>
      <w:r>
        <w:t>Considering that this company achieved a turnover of 239,386,964 francs in 1993; that under these conditions, it is appropriate to impose a monetary sanction of 200,000 francs;</w:t>
      </w:r>
    </w:p>
    <w:p>
      <w:r>
        <w:t>Regarding the company Black and Decker:</w:t>
      </w:r>
    </w:p>
    <w:p>
      <w:r>
        <w:t>Considering that the Black and Decker company, whose brand is very well known to the general public, although it did not intervene a posteriori with its resellers, nonetheless established commercial cooperation contracts whose clauses were likely to dissuade distributors from incorporating several deferred discounts into their resale prices;</w:t>
      </w:r>
    </w:p>
    <w:p>
      <w:r>
        <w:t>Considering that this company achieved a turnover of 644,803,016 francs in 1993; that under these conditions, it is appropriate to impose a monetary sanction of 3,000,000 francs;</w:t>
      </w:r>
    </w:p>
    <w:p>
      <w:r>
        <w:t>Regarding the company Métabo:</w:t>
      </w:r>
    </w:p>
    <w:p>
      <w:r>
        <w:t>Considering that the Métabo company, whose brand enjoys great notoriety among professionals, has intervened several times with distributors to enforce the application of the minimum margin coefficient that it had inserted in its partnership contracts, despite the strongly anti-competitive nature of this provision;</w:t>
      </w:r>
    </w:p>
    <w:p>
      <w:r>
        <w:rPr>
          <w:b/>
        </w:rPr>
        <w:t>[Pages 10–11]</w:t>
      </w:r>
    </w:p>
    <w:p>
      <w:r>
        <w:t>Considering that this company achieved a turnover of 132,679,822 francs in 1993; that, under these conditions, a monetary sanction of 1,300,000 francs should be imposed on it;</w:t>
      </w:r>
    </w:p>
    <w:p>
      <w:r>
        <w:t xml:space="preserve">Regarding the company Castorama: </w:t>
        <w:br/>
        <w:t xml:space="preserve">Considering that the company Castorama, the leading brand among large specialized DIY stores, has interfered in the pricing policy of competing distributors, by invoking the provisions of their commercial cooperation contracts mentioned in 1.2 a of section I of this decision, to which it adhered; </w:t>
        <w:br/>
        <w:t>Considering that this company achieved a turnover of 8,663,354,204 francs in 1993; that, under these conditions, a monetary sanction of 2,000,000 francs should be imposed on it;</w:t>
      </w:r>
    </w:p>
    <w:p>
      <w:r>
        <w:t xml:space="preserve">Regarding the companies Leroy-Merlin and Obi: </w:t>
        <w:br/>
        <w:t xml:space="preserve">Considering that these two companies have adhered, by placing orders, to the explicitly anti-competitive minimum margin clause contained in the partnership agreement of the manufacturer Metabo, even if they have sometimes freed themselves from it; that the company Leroy-Merlin is, by its turnover, the second large specialized DIY store and that the company Obi, although smaller, had more than sixty points of sale in France at the time; </w:t>
        <w:br/>
        <w:t>Considering that these companies achieved, in 1993, a turnover of 7,372,347,692 francs for Leroy-Merlin and 883,223,000 francs for Obi; that, under these conditions, a monetary sanction of 500,000 francs should be imposed on the former and 50,000 francs on the latter,</w:t>
      </w:r>
    </w:p>
    <w:p>
      <w:r>
        <w:t xml:space="preserve">Decides: </w:t>
        <w:br/>
        <w:t xml:space="preserve">Art. 1. - The following monetary sanctions are imposed: </w:t>
        <w:br/>
        <w:t xml:space="preserve">- 6,000,000 francs on F.B.C. Bosch; </w:t>
        <w:br/>
        <w:t xml:space="preserve">- 200,000 francs on Production (Peugeot) Outillage Electrique; </w:t>
        <w:br/>
        <w:t xml:space="preserve">- 3,000,000 francs on Black and Decker; </w:t>
        <w:br/>
        <w:t xml:space="preserve">- 1,300,000 francs on Metabo; </w:t>
        <w:br/>
        <w:t xml:space="preserve">- 2,000,000 francs on Castorama; </w:t>
        <w:br/>
        <w:t xml:space="preserve">- 500,000 francs on Leroy-Merlin; </w:t>
        <w:br/>
        <w:t>- 50,000 francs on Obi.</w:t>
      </w:r>
    </w:p>
    <w:p>
      <w:r>
        <w:t>Art. 2. - Within a maximum period of three months following its notification, the companies referred to in Article 1 of this decision shall publish the full text at their own expense and in proportion to the monetary sanctions imposed on them, in the newspapers Les Echos and la Tribune Desfossés.</w:t>
      </w:r>
    </w:p>
    <w:p>
      <w:r>
        <w:t>This publication shall be preceded by the mention 'Decision of the Competition Council dated October 18, 1994, regarding practices implemented in the sector of portable power tools.'</w:t>
      </w:r>
    </w:p>
    <w:p>
      <w:r>
        <w:t>Deliberated on the report of Mr. Jean-Guirec Le Noan, by Mr. Cortesse, Vice-President, presiding over the session, Mr. Bon, Ms. Hagelsteen, Messrs. Marleix, Rocca, Sloan, and Thiolon, members.</w:t>
      </w:r>
    </w:p>
    <w:p>
      <w:r>
        <w:t xml:space="preserve">The substitute general rapporteur The Vice-President, presiding over the session </w:t>
        <w:br/>
        <w:t xml:space="preserve">Marie Picard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