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French</w:t>
      </w:r>
    </w:p>
    <w:p>
      <w:r>
        <w:t>Source URL       : https://www.autoritedelaconcurrence.fr/fr/decision/relative-des-pratiques-relevees-dans-le-secteur-des-emballages-en-bois</w:t>
      </w:r>
    </w:p>
    <w:p>
      <w:r>
        <w:t>Pages translated : 13</w:t>
      </w:r>
    </w:p>
    <w:p/>
    <w:p>
      <w:r>
        <w:rPr>
          <w:b/>
        </w:rPr>
        <w:t>[Pages 1–3]</w:t>
      </w:r>
    </w:p>
    <w:p>
      <w:r>
        <w:t>FRENCH REPUBLIC</w:t>
        <w:br/>
        <w:t>Decision No. 12-D-07 of February 17, 2012</w:t>
        <w:br/>
        <w:t>regarding practices observed in the sector</w:t>
        <w:br/>
        <w:t>1</w:t>
        <w:br/>
        <w:t>of wooden packaging</w:t>
        <w:br/>
        <w:t>The Competition Authority (section V),</w:t>
        <w:br/>
        <w:t>Having regard to the letter registered on June 13, 2007, under number 07/0048 F, by which the Minister of Economy, Finance, and Employment referred to the Council, now the Competition Authority, practices observed in the sector of manufacturing and marketing of light wooden packaging;</w:t>
        <w:br/>
        <w:t>Having regard to Book IV of the Commercial Code;</w:t>
        <w:br/>
        <w:t>Having regard to the business secrecy decisions 10-DSA-223 of October 29, 2010 (Ets Houée), 10-DSA-224 of October 29, 2010 (Emballages Samson), and 10-DSA-225 of October 29, 2010 (Norman Dinan Limited);</w:t>
        <w:br/>
        <w:t>Having regard to the other documents in the file;</w:t>
        <w:br/>
        <w:t>Having regard to the observations presented by the Government Commissioner;</w:t>
        <w:br/>
        <w:t>The rapporteur, the deputy general rapporteur, and the Government Commissioner heard during the session of January 17, 2012;</w:t>
        <w:br/>
        <w:t>Adopts the following decision:</w:t>
        <w:br/>
        <w:t>1 Public version</w:t>
      </w:r>
    </w:p>
    <w:p>
      <w:r>
        <w:t>I. Findings</w:t>
        <w:br/>
        <w:t>A. THE REFERRAL</w:t>
        <w:br/>
        <w:t>1. By letter dated June 13, 2007, the Minister of Economy, Finance, and Employment referred to the Competition Council practices observed in the sector of manufacturing and marketing of light wooden packaging. According to the referral, the investigation would reveal, firstly, a horizontal agreement among agricultural cooperatives consisting of setting common prices for the supply of light wooden packaging and maximizing the amount of community subsidies, secondly, a horizontal agreement among manufacturers of light wooden packaging aimed at coordinating their pricing behavior towards the cooperatives, and thirdly and lastly, a vertical agreement between the agricultural cooperatives and the manufacturers of light wooden packaging consisting, during annual meetings, of establishing a single artificial price.</w:t>
        <w:br/>
        <w:t>2. The investigations concerned six manufacturers of light wooden packaging in the Brittany region, four Producer Organizations (POs), as well as their professional organizations. The observed practices relate to the years 2005 and 2006.</w:t>
        <w:br/>
        <w:t>3. On January 8, 2009, the Minister of Economy transmitted to the Competition Council, within the framework of the aforementioned referral, a new indication of anti-competitive practices in the same sector, implicating manufacturers of light wooden packaging from Maine and Loire.</w:t>
        <w:br/>
        <w:t>B. SECTOR AND COMPANIES CONCERNED</w:t>
        <w:br/>
        <w:t>1. THE SECTOR OF ACTIVITY</w:t>
        <w:br/>
        <w:t>4. The activity of packaging fruits and vegetables is not governed by specific regulations. However, certain legal provisions may influence the choice of packaging material. This is particularly the case with regulations relating to community aids, managed by the professional organizations of the POs, within the framework of the common market organization (CMO) for Fruits and Vegetables, which encourages the use of wooden or cardboard packaging. The sector concerns three types of packaging: a) light wood, b) cardboard, and c) plastic.</w:t>
        <w:br/>
        <w:t>a) Light wooden packaging for fruits and vegetables</w:t>
        <w:br/>
        <w:t>5. Light wood is primarily used for packaging fruits and vegetables. The characteristics of these packages are defined in a specification document from Cerafel, the professional organization of Breton POs.</w:t>
        <w:br/>
        <w:t>6. The manufacturing of light wooden packaging for POs is characterized by:</w:t>
        <w:br/>
        <w:t>2</w:t>
      </w:r>
    </w:p>
    <w:p>
      <w:r>
        <w:t>− the geographical proximity of various manufacturers, within 100 kilometers of the fruit and vegetable producing regions;</w:t>
        <w:br/>
        <w:t>− the same type of marketing constraints for related products, the existence of the same suppliers, a large community of customers;</w:t>
        <w:br/>
        <w:t>− the necessity of a fairly heavy production tool: the acquisition of a "production line" (from €0.5 to €1 million) generates up to 5 million packages per year (which corresponds to just under €5 million in turnover);</w:t>
        <w:br/>
        <w:t>− strong competitive pressure from suppliers of cardboard and plastic packaging;</w:t>
        <w:br/>
        <w:t>− fragile financial results, in a sector that is overall in decline, estimated at €156 million nationally in 2008.</w:t>
        <w:br/>
        <w:t>b) Cardboard packaging for fruits and vegetables</w:t>
        <w:br/>
        <w:t>7. Cardboard packaging, produced industrially, is by definition foldable before use and easily storable. It can also benefit from the aforementioned community aids. The market for cardboard packaging for fruits and vegetables and fresh products is estimated at €588 million nationally in 2007.</w:t>
        <w:br/>
        <w:t>c) Plastic packaging for fruits and vegetables</w:t>
        <w:br/>
        <w:t>8. The remarks regarding the cost of transporting cardboard packaging also apply to plastic packaging, which, however, does not benefit from community subsidies within the framework of the CMO for fruits and vegetables.</w:t>
        <w:br/>
        <w:t>9. The POs do not purchase plastic packaging: their suppliers are not manufacturers of plastic packaging, but intermediary service providers who rent them the trays, which are reusable after washing.</w:t>
        <w:br/>
        <w:t>10. The assessment of the average cost of this type of packaging by the POs is therefore more complex, since the rental depends on the exact time of use of the product. The POs have an apparent reluctance towards plastic for health reasons. However, they comply with the preferences of their clientele, so that for some of them, the share of plastic is increasing.</w:t>
        <w:br/>
        <w:t>d) Conclusions on the fruit and vegetable packaging sector</w:t>
        <w:br/>
        <w:t>11. When sourcing at auction markets, the buyer from the POs, most often the trader-shipper, buys a "naked" vegetable, with the various packaging distinctly priced for the season: for example, in the case of artichokes, the most expensive packaging is cardboard, followed by wood, and finally plastic, noting that these purchase prices are very close and fluctuate by plus or minus €1. These findings remain relative, as plastic packaging incurs a separate additional charge for deposit fees. The national market for fruit and vegetable packaging can be estimated at €1,576 million, and that for light wooden packaging at €156 million, with the remainder pertaining to cardboard or plastic packaging. However, in the present file and for the Brittany basin, the share of wood, even significantly declining since 2007, still approaches &lt;30-60%&gt; of the packaging purchases of the POs.</w:t>
        <w:br/>
        <w:t>3</w:t>
      </w:r>
    </w:p>
    <w:p>
      <w:r>
        <w:rPr>
          <w:b/>
        </w:rPr>
        <w:t>[Pages 4–6]</w:t>
      </w:r>
    </w:p>
    <w:p>
      <w:r>
        <w:t>e) The related sector of marketing fruits and vegetables</w:t>
        <w:br/>
        <w:t>12. At the national level, the trade in fruits and vegetables amounted to €15.8 billion in 2007. In the examined region (Breton basin and Manche), it would be around €580 million. The four POs involved in this case allocate an average of 10% of their turnover to packaging purchases (any material), and sell less than 5% of their production without packaging (the buyer at the auction handling it).</w:t>
      </w:r>
    </w:p>
    <w:p>
      <w:r>
        <w:t>2. THE ACTORS IN THE SECTOR</w:t>
        <w:br/>
        <w:t>a) The supply: manufacturers of fruit and vegetable packaging</w:t>
        <w:br/>
        <w:t>Manufacturers of wooden packaging (crates)</w:t>
        <w:br/>
        <w:t>13. There are about forty crate manufacturers in France. Some manufacturers are also producers and suppliers of wood, while others may group together to pool the marketing of their related products. The manufacturers of light wooden packaging targeted by the referral numbered six, of which only four still operate in the market today:</w:t>
        <w:br/>
        <w:t>14. These companies are Norman Limited (Hearing: references 2246 to 2250), with a turnover of &lt;0-10 M€&gt;, and employing 70 staff; the Houee establishments (Hearing: references 2297 to 2301), with a turnover of &lt;0-10 M€&gt;, and employing 85 staff; the Samson establishments (Hearing: references 2303 to 2308), with a turnover of &lt;5-20 M€&gt;; and Rault et Cie (Hearing: references 2478 to 2483), with a turnover of &lt;5-20 M€&gt;, and employing 106 staff.</w:t>
        <w:br/>
        <w:t>15. There are two other companies in Manche, which have a different clientele. According to the case documents, for the western region of France, the four manufacturers in this case have no other direct competitors in Brittany, with the closest being located in Pays de Loire.</w:t>
      </w:r>
    </w:p>
    <w:p>
      <w:r>
        <w:t>Manufacturers of cardboard packaging</w:t>
        <w:br/>
        <w:t>16. The top ten players in the corrugated cardboard sector in France (References 331 (Xerfi), and 3577 to 3586) have a total turnover of €13,222 million, with the top three operators being DS Smith Kaysersberg, Smurfit Kappa, and SCA Packaging.</w:t>
        <w:br/>
        <w:t>17. In 2008/2009, the POs targeted by the referral sourced €10,890 K in cardboard packaging (reference 3632 SICA, reference 3650 TSM, references 3372, 3644 UCPT), which represents about one-third of their packaging purchases.</w:t>
        <w:br/>
        <w:t>18. These cardboard packaging suppliers are sometimes located near their client POs, such as SCA Packaging in Saint Pol de Léon (29) and in Josselin (56), or like Smurfit Kappa, in La Mézières (35).</w:t>
      </w:r>
    </w:p>
    <w:p>
      <w:r>
        <w:t>Manufacturers of plastic packaging</w:t>
        <w:br/>
        <w:t>19. In 2008/2009, the targeted POs rented plastic packaging for €5,700 K (with SICA alone for €5,240 K), which represents 17% of their packaging purchases, from the operators of plastic crate logistics mentioned below.</w:t>
      </w:r>
    </w:p>
    <w:p>
      <w:r>
        <w:t>20. The top ten plastic packaging manufacturers in France are Isobox, Knauf, Linpac Allibert, Ono Packaging Schoeller Arca Systems, Storopack, and Werit, which together had a turnover of €323 million in 2008.</w:t>
        <w:br/>
        <w:t>21. The operators of plastic crate logistics (who themselves source from the manufacturers mentioned above) rent the packaging equipment to the POs: these are Chep-France (leader), Europool, Ifco Systems France (Schoeller), S.A.P., and Française de Plastique, which together had a turnover of approximately €316 million in 2008. Finally, while some plastic packaging suppliers for tenant POs may be located near their clientele (such as S.A.P supplier to SICA for €300,000/year, which is a very residual level), others are more distant (such as Europpol Systems, with a location in Pays de Loire, and the crate washing center in the Netherlands).</w:t>
      </w:r>
    </w:p>
    <w:p>
      <w:r>
        <w:t>b) The demand: the main buyers of fruit and vegetable packaging</w:t>
        <w:br/>
        <w:t>22. The wholesale trade of fruits and vegetables in France represents a turnover of €15,757 million, achieved by 2,923 companies employing a total of 39,457 people. The leading French operators in the wholesale market for fruits and vegetables are Pomona (40% of the market), CGC (10%), Scofel (10%), and SICA Saint Pol de Léon (5%) – with UCPT coming in fifteenth place (2.4%).</w:t>
      </w:r>
    </w:p>
    <w:p>
      <w:r>
        <w:t>The producer organizations (POs) targeted by the administrative investigation</w:t>
        <w:br/>
        <w:t>23. The buyers of packaging for fruits and vegetables targeted by the referral are organizations or associations of producer organizations of fruits and vegetables (PO or AOP). Their professional bodies are Cerafel and Copfel. Cerafel is a professional union grouping seven Breton POs, four of which are involved in this case. It represents about 3,000 producers and 720,000 tons of fruits and vegetables. Copfel is a committee of Breton production POs. It has six members, including the four POs in this case. It manages community aid, under the aegis of France Agrimer. The community aid to Coopfel was €11.6 million in 2006 - of which €2 million was for wooden or cardboard trays.</w:t>
        <w:br/>
        <w:t>24. Three POs (TSM, SICA, and UCPT) jointly market their production of fruits and vegetables via a system of declining and synchronized auctions, on three interconnected so-called "auction" markets (markets of Saint-Pol-de-Léon, Saint-Malo, and Paimpol), largely under the same brand "Prince de Bretagne". The fourth PO (La Bretonne) sells directly through its trading subsidiary, without going through the auctions. TSM, SICA, UCPT, and La Bretonne together have a turnover of over €380 million.</w:t>
      </w:r>
    </w:p>
    <w:p>
      <w:r>
        <w:t>♦ The cooperative Terres de Saint-Malo (hereinafter TSM) (references 2541 and following):</w:t>
        <w:br/>
        <w:t>25. TSM is a PO that currently has about one hundred members (down from 165 at the time of the facts) and markets 95% of its fruits and vegetables under the brand "Prince de Bretagne", with a production of around 50,000 tons. With an average turnover of €20 million (€23.9 million in December 2009), €15 million comes from the resale of fruits and vegetables. TSM manages the auction market of Saint-Malo.</w:t>
      </w:r>
    </w:p>
    <w:p>
      <w:r>
        <w:t>♦ The OP SICA Kérisnel (hereinafter SICA) (References 410 and following, references 2487 and following):</w:t>
        <w:br/>
        <w:t>26. SICA, the fourth largest French trader of fruits and vegetables (after POMONA, CGC, and SCOFEL), has 1,500 members, employs 150 to 160 staff, with a turnover of €247 million in 2005 (compared to €239 million in 2007 and 2008). It markets 300,000 tons of fruits and vegetables mainly under the brand "Prince de Bretagne". SICA manages the auction market of Saint-Pol-de-Léon. For its packaging purchases, SICA sources quite evenly in 2009 between cardboard, wood, and plastic, from about a dozen diverse suppliers. It had reported in 2006 using over 75% light wooden packaging to package its vegetables, this proportion having decreased to 46% in 2009.</w:t>
      </w:r>
    </w:p>
    <w:p>
      <w:r>
        <w:t>♦ Union of cooperatives Paimpol Tréguier (hereinafter UCPT) (references 2500 and following):</w:t>
        <w:br/>
        <w:t>27. UCPT groups four cooperatives representing 600 producers, employs 32 staff (35 in 2006), with a turnover of €119 million in 2007 (compared to €117 million in 2008). This PO markets about 180,000 tons of fruits and vegetables per year, mainly under the brand "Prince de Bretagne", and manages the auction market of Paimpol. UCPT has favored wooden packaging, which represented 52% of its purchases in 2008, with cardboard packaging representing 43% and plastic crates less than 4%.</w:t>
      </w:r>
    </w:p>
    <w:p>
      <w:r>
        <w:t>♦ La Bretonne (references 438 and following):</w:t>
        <w:br/>
        <w:t>28. This PO groups 45 producers. It achieved a turnover of €4.2 million in 2005. 60% of its packaging consists of wooden crates, supplied by the Rault or Samson establishments.</w:t>
      </w:r>
    </w:p>
    <w:p>
      <w:r>
        <w:t>New organization of the POs</w:t>
        <w:br/>
        <w:t>29. The POs involved modified their organization to regroup, in 2007, with the exception of La Bretonne, within a Union of cooperatives with variable capital, Arcal, ("Regional Association of Vegetable Auctions"), a legal entity now managing the three auctions.</w:t>
      </w:r>
    </w:p>
    <w:p>
      <w:r>
        <w:t>Summary of the relationships between the POs and the crate manufacturers</w:t>
        <w:br/>
        <w:t>30. The share of the POs in the turnover of crate manufacturers in 2008 or 2009 is &lt;20-60%&gt; (Rault), &lt;30-70%&gt; (Houee), &lt;30-70%&gt; (Samson), and &lt;10-50%&gt; (Norman Dinan). The crate manufacturers have a total turnover of over €30 million, of which &lt;10-20 million&gt; is with the POs.</w:t>
        <w:br/>
        <w:t>31. In 2008/2009, the POs' purchases consisted of 52% wooden packaging, 32% cardboard packaging, and 17% plastic packaging, for a total packaging purchase of €33.6 million (all materials).</w:t>
        <w:br/>
        <w:t>32. The four POs purchased over 70% of the wooden crates produced in the Brittany region in 2006. In 2009, wood represented only 46% or 43% of the packaging for certain POs (SICA and UCPT).</w:t>
      </w:r>
    </w:p>
    <w:p>
      <w:r>
        <w:t>The other POs not targeted in the administrative investigation</w:t>
        <w:br/>
        <w:t>33. There are locally other POs of fruits and vegetables, buyers of packaging, which represent a total turnover of around €201 million.</w:t>
      </w:r>
    </w:p>
    <w:p>
      <w:r>
        <w:t>The position of the targeted POs in the referral in their main local market</w:t>
        <w:br/>
        <w:t>34. The above turnover figures (regional POs, targeted or not by the referral) allow us to situate the share of the concerned POs in their local primary marketing market for fruits and vegetables: in terms of turnover, SICA represents nearly 42%.</w:t>
      </w:r>
    </w:p>
    <w:p>
      <w:r>
        <w:rPr>
          <w:b/>
        </w:rPr>
        <w:t>[Pages 7–9]</w:t>
      </w:r>
    </w:p>
    <w:p>
      <w:r>
        <w:t>34. The above turnover figures (regional POs, whether mentioned in the referral or not) allow us to situate the share of the concerned POs in their local market for the first marketing of fruits and vegetables: in terms of turnover, the SICA represents nearly 42%, followed by UCPT (20%) and Saveol (12%). If we aggregate the three POs of the markets, which have now grouped together within Arcal, they represent €380 million in turnover, or nearly 66% of the total.</w:t>
      </w:r>
    </w:p>
    <w:p>
      <w:r>
        <w:t>C. THE REPORTED PRACTICES</w:t>
        <w:br/>
        <w:t>35. The administrative investigation report mentions practices from 2006 concerning the invoicing of wooden packaging and practices from 2005 regarding the wording of the invoices.</w:t>
        <w:br/>
        <w:t>1. PRACTICES RELATING TO THE PRICES OF CRATES</w:t>
        <w:br/>
        <w:t>36. The administrative investigation report mentions the following facts:</w:t>
        <w:br/>
        <w:t>- a meeting on June 20, 2006, bringing together packers and POs under the aegis of Cerafel, the materiality of which is established;</w:t>
        <w:br/>
        <w:t>- the similarity of the base prices adopted by manufacturers following this meeting, observed from the examination of invoices concerning the majority of productions (packaging for cauliflowers, artichokes, and salads), with however differences on pre-season discounts and discount rates;</w:t>
        <w:br/>
        <w:t>- the slight evolution over time of the base price of the "standard" crate (i.e., that of 60 x 40 cm, for cauliflower):</w:t>
        <w:br/>
        <w:t>Packaging cauliflower 2002 2003 2004 2005 2006 2007 2008 2009</w:t>
        <w:br/>
        <w:t>"standard" 60 x 40 cm (€)</w:t>
        <w:br/>
        <w:t>Base price paid by the POs 0.90 0.909 0.917 0.932 0.932 0.937 0.960 0.979</w:t>
        <w:br/>
        <w:t>(wooden crates)</w:t>
        <w:br/>
        <w:t>- the provision by the SICA of a table dated June 9, 2006, received from Copfel, containing the tariff for light wooden packaging for 2006/2007; this annual tariff table annotated by the SICA manager would constitute, according to the administrative report, an element establishing "the tariff prices on which the packers and the POs had agreed" (reference 416).</w:t>
        <w:br/>
        <w:t>37. Except for La Bretonne, which disputes participating in meetings with crate manufacturers, the three POs of the markets (UCPT, TSM, SICA) consider it essential to have the same price for packaging of the same type, in order to ensure the coherence of operations and the preservation of market integrity at the market (where the vegetable is sold "naked"), so that the price of packaging is neutral at this stage of the sale. Cerafel organizes professional meetings and hosts the annual meeting between cooperatives and packers, the purpose of which is to review the past season, estimate the upcoming season, and agree on the price of packaging. Copfel mentions the necessity of a prior fixation of purchase prices, to subsequently allow the functioning of community aids.</w:t>
        <w:br/>
        <w:t>38. The manufacturers did not contest the existence of an annual meeting, particularly that of 2006, with the POs.</w:t>
      </w:r>
    </w:p>
    <w:p>
      <w:r>
        <w:t>2. PRACTICES RELATING TO THE WORDING OF INVOICING</w:t>
        <w:br/>
        <w:t>39. The referral to the minister also reports practices observed in the drafting of invoices by crate suppliers, at the request of the POs, to include mentions allowing the POs to benefit from the financing of community aids.</w:t>
        <w:br/>
        <w:t>40. The POs do not dispute having met on October 18, 2005, and then on November 23, 2005, under the aegis of Copfel, in preparation for the 2006 operational plan organizing the schedule of community aids. Following these meetings, the POs requested the crate suppliers to modify the wording of their invoices starting from January 1, 2006, and to include a mention of an "additional cost for the application of the Prince de Bretagne brand" (8 cents per crate), allowing them to have a proof of expense with the European Agricultural Guidance and Guarantee Fund (EAGGF).</w:t>
      </w:r>
    </w:p>
    <w:p>
      <w:r>
        <w:t>II. Discussion</w:t>
        <w:br/>
        <w:t>41. Article L. 464-6 of the Commercial Code states that "when no practice likely to harm competition in the market is established, the Competition Authority may decide, after the author of the referral and the Government Commissioner have been given the opportunity to consult the file and make their observations, that there is no need to continue the procedure. This decision is motivated."</w:t>
        <w:br/>
        <w:t>42. The first two paragraphs of Article L. 462-8 of the Commercial Code provide that "the Competition Authority may declare, by reasoned decision, the referral inadmissible for lack of interest or standing of the author thereof, or if the facts are time-barred within the meaning of Article L. 462-7, or if it considers that the alleged facts do not fall within its jurisdiction. It may also reject the referral by reasoned decision when it considers that the alleged facts are not supported by sufficiently probative elements."</w:t>
      </w:r>
    </w:p>
    <w:p>
      <w:r>
        <w:t>A. ON THE COMPETENCE OF THE AUTHORITY</w:t>
        <w:br/>
        <w:t>43. The Authority is competent to examine the practices referred to in the referral in light of Articles L. 420-1, L. 420-2, or L. 420-5 of the Commercial Code. However, it should be noted from the outset that the practices relating to the drafting of invoices by crate manufacturers, at the request of the POs and for the potential purpose of obtaining community subsidies, do not in themselves constitute practices whose examination falls under the application of competition rules.</w:t>
      </w:r>
    </w:p>
    <w:p>
      <w:r>
        <w:t>B. ON THE DELIMITATION OF THE RELEVANT MARKET</w:t>
        <w:br/>
        <w:t>44. The administrative investigation considered that the product to be retained for defining the relevant market referred to wooden crates. However, it appears that trays or boxes made of cardboard or plastic are substitutable for wooden crates, at very similar prices. The relevant product market, which, according to consistent case law, does not need to be precisely delineated when collusion practices are involved as in this case, could therefore be that of packaging, encompassing all materials, for fruits and vegetables, at the stage of their first marketing to traders.</w:t>
        <w:br/>
        <w:t>45. According to the Competition Authority, the geographical market is determined based on the characteristics of demand. In the present case, the cost of transporting the packaging directly influences demand. The POs, unless other requirements from their clientele, prioritize the immediate proximity of the supplier, who will react directly based on weather conditions. These two elements support a regional dimension for the supply of packaging. Finally, some suppliers of the four POs mentioned in the referral also supply other POs of fruits and vegetables in Manche. Under these conditions, the relevant geographical market is that of the Brittany region (departments 29, 22, 56, and 35) and the department of Manche (50).</w:t>
        <w:br/>
        <w:t>46. Various assessments allow us to set the value of this market for fruit and vegetable packaging in Brittany and Manche at approximately €60 million.</w:t>
        <w:br/>
        <w:t>47. Breton manufacturers sell €15-30 million worth of crates, representing 40% of this market (with respectively Samson &lt;10-20%&gt;, Houee &lt;1-10%&gt;, Rault &lt;10-20%&gt;, Norman Dinan &lt;1-10%&gt;).</w:t>
        <w:br/>
        <w:t>48. The four POs mentioned in the referral account for €33.6 million of packaging purchases (56% of the market), at rates of 32% (SICA), 18.8% (UCPT), 4.74% (TSM), and 0.8% (La Bretonne).</w:t>
      </w:r>
    </w:p>
    <w:p>
      <w:r>
        <w:t>C. ON THE LEGAL QUALIFICATION OF THE PRACTICES</w:t>
        <w:br/>
        <w:t>1. ON A POSSIBLE HORIZONTAL AGREEMENT BETWEEN THE POs, INTENDED TO FIX COMMON PURCHASE PRICES FOR WOODEN PACKAGING</w:t>
        <w:br/>
        <w:t>49. The meeting of June 20, 2006, held under the aegis of Cerafel, which included three POs (UCPT, TSM, SICA), is materially undisputed.</w:t>
        <w:br/>
        <w:t>50. It should be noted that in this case, although at the time of the facts, the POs involved had not yet formalized a group purchasing agreement through a legal structure tasked with making packaging purchases (Arcal, created in 2007), they had already implemented cooperation modalities to pool their purchasing power for wooden packaging.</w:t>
        <w:br/>
        <w:t>51. Although EU law does not apply to this case, the European Commission's guidelines on the applicability of Article 101 TFEU to horizontal cooperation agreements of January 6, 2001 (given the date of the facts) can provide a useful analytical guide.</w:t>
        <w:br/>
        <w:t>52. Paragraph 2 of these guidelines (2001/C 3/02) states that "horizontal cooperation may create competition problems. This is the case, for example, when the parties to a cooperation agreement agree to fix prices or production or to allocate markets, or when this cooperation allows the parties to...</w:t>
      </w:r>
    </w:p>
    <w:p>
      <w:r>
        <w:rPr>
          <w:b/>
        </w:rPr>
        <w:t>[Pages 10–12]</w:t>
      </w:r>
    </w:p>
    <w:p>
      <w:r>
        <w:t>maintain, conquer, or strengthen market power and thus produces negative effects on prices, production, innovation, or the diversity and quality of products."</w:t>
      </w:r>
    </w:p>
    <w:p>
      <w:r>
        <w:t>53. Paragraph 115 considers the case of purchasing agreements and provides that "this type of purchase can be made through a jointly controlled company or a company in which a large number of businesses hold a small stake, based on a contractual agreement, or through a more flexible form of cooperation."</w:t>
      </w:r>
    </w:p>
    <w:p>
      <w:r>
        <w:t>54. It emerges from the examined facts that the agreement between the three POs was not used to achieve prohibited practices, such as downstream price fixing, production limitation, or market allocation.</w:t>
      </w:r>
    </w:p>
    <w:p>
      <w:r>
        <w:t>55. Firstly, nothing in the file allows us to assert that the price fixing of the crates pursued, on the part of the POs, the objective of setting a concerted price for fruits and vegetables downstream. The crates were indeed billed at uniform prices but without margin, which is sufficient to rule out the hypothesis of a purchasing agreement aimed at setting a non-competitive price downstream.</w:t>
      </w:r>
    </w:p>
    <w:p>
      <w:r>
        <w:t>56. Furthermore, the cooperation between the POs did not aim to limit the production of wooden packaging, but rather to ensure a diversity of suppliers. It should be noted that there is no established link between the practices and the disappearance of two crate manufacturers since the time of the facts.</w:t>
      </w:r>
    </w:p>
    <w:p>
      <w:r>
        <w:t>57. Finally, no element in the file allows us to consider that the agreement between the POs aimed at market allocation, as the crate suppliers remained free to contract with other clients.</w:t>
      </w:r>
    </w:p>
    <w:p>
      <w:r>
        <w:t>58. There are also no material elements establishing the existence of potential anti-competitive effects resulting from the POs' agreement. It is not noted that the price requirements of the POs had as a counterpart an exclusivity of their purchases from Breton crate manufacturers. Nor can we identify material elements prohibiting access to the market for packaging manufacturers of all materials (cardboard, plastics). Since 2007, wooden packaging has actually declined, falling from 70% to 52% of the POs' packaging purchases. Regarding the selling prices of the crates, it seems that the negotiations of the POs have rather led to moderating the changes, which does not seem illogical given the collective purchasing power of the cooperatives.</w:t>
      </w:r>
    </w:p>
    <w:p>
      <w:r>
        <w:t>59. The practices implemented by the POs do not fall within those that the Competition Council observed, in decision no. 03-D-11 of February 21, 2003, regarding practices implemented by the purchasing center Opéra, that could be prohibited. The Council noted that: "the free choice of the buyer is one of the major drivers of competition and the main means by which trade stimulates, among producers, productivity, improvement of product and service quality, as well as price reduction," and that "the fact that distributors who created the Opéra center informed all suppliers that they intended, due to the increased purchasing power generated by this creation, to renegotiate the purchasing conditions granted, or to condition the continuation of already established commercial relationships on the acceptance of additional conditions, without real counterparts, compared to those that had already been agreed and accepted, could be targeted by the provisions of Article L. 420-1 of the Commercial Code, if these requests had the object or effect of restricting competition in a market."</w:t>
      </w:r>
    </w:p>
    <w:p>
      <w:r>
        <w:t>60. Under these conditions, the facts alleged by the referral do not allow for the characterization of anti-competitive practices prohibited by Article L. 420-1 of the Commercial Code.</w:t>
      </w:r>
    </w:p>
    <w:p>
      <w:r>
        <w:t>2. ON A POSSIBLE HORIZONTAL AGREEMENT AMONG CRATE MANUFACTURERS</w:t>
      </w:r>
    </w:p>
    <w:p>
      <w:r>
        <w:t>61. The competitive analysis requires first questioning the existence of any prior concertation before the negotiation phase, and then analyzing what happened during the negotiation with the buyers.</w:t>
      </w:r>
    </w:p>
    <w:p>
      <w:r>
        <w:t>62. It is worth recalling decision no. 10-D-22 of July 22, 2010, regarding practices implemented in the sanitary transport sector in Seine-Maritime, during which the Competition Authority found, to characterize an agreement, the existence of a meeting prior to the submission of offers among the companies.</w:t>
      </w:r>
    </w:p>
    <w:p>
      <w:r>
        <w:t>63. In the present case, the administrative investigation report does not highlight any prior meeting of the crate suppliers alone, prior to the joint meeting of manufacturers and buyers on June 20, 2006.</w:t>
      </w:r>
    </w:p>
    <w:p>
      <w:r>
        <w:t>64. Then, according to the administrative report, the holding of the meeting led to suspensions of the session, allowing the POs and the crate suppliers to renegotiate the prices of wooden packaging. This method of negotiation is desired by the clients of the crate manufacturers, to negotiate collectively with their suppliers and thus use their purchasing power against their suppliers.</w:t>
      </w:r>
    </w:p>
    <w:p>
      <w:r>
        <w:t>65. The way this type of annual negotiation could take place is illustrated by the hearing of the SICA (references 2,491 and following), whose director reports a meeting in June 2009 in the following terms: "we first present the situation of the production concerned by the wooden packaging, the balance of the past season, the technical incidents we may have had, the foreseeable volumes to come, without always having visibility in June (on the month of September for cauliflower, or in the following January for artichokes, for example). The manufacturers present their expectations, whether in terms of volume or price. Finally, we examine the pricing trends affecting the cost price of the trays. This reveals trends towards an increase or decrease in the previous price. Ultimately, the price is communicated to the suppliers."</w:t>
      </w:r>
    </w:p>
    <w:p>
      <w:r>
        <w:t>66. There is no material element in the file that allows us to assert that the wooden packaging companies collectively set a price, beyond the acceptance of the POs' negotiation method.</w:t>
      </w:r>
    </w:p>
    <w:p>
      <w:r>
        <w:t>67. Under these conditions, there are no sufficiently probative elements supporting the referral to characterize a possible practice of wooden packaging manufacturers falling within the scope of Article L. 420-1 of the Commercial Code.</w:t>
      </w:r>
    </w:p>
    <w:p>
      <w:r>
        <w:t>3. ON THE EXISTENCE OF A POSSIBLE VERTICAL AGREEMENT BETWEEN POs AND MANUFACTURERS ON PURCHASE PRICES</w:t>
      </w:r>
    </w:p>
    <w:p>
      <w:r>
        <w:t>68. Competition law does not sanction practices that fall within the normal exercise of negotiation between sellers and buyers on purchase prices.</w:t>
      </w:r>
    </w:p>
    <w:p>
      <w:r>
        <w:t>69. In a case involving the practices of the company Rallye, concerning negotiations conducted by it with all its suppliers, and regarding the characterization of the existence of a vertical agreement, the Competition Council decided that it was not established that the company Rallye had violated legal provisions, and the Court of Cassation held that "the alleged agreement could only be qualified as a concerted action or agreement (...) if it was established that the parties had freely consented to limit access to the market or free competition; that having only noted that this practice initiated by the company Rallye, which could have received other legal qualifications under the aforementioned ordinance, was likely to lead to the adherence of suppliers or some of them, and had the effect of affecting their decision-making autonomy, the Court of Appeal violated the aforementioned text."</w:t>
      </w:r>
    </w:p>
    <w:p>
      <w:r>
        <w:t>70. In the present case, it is not established that the crate suppliers adhered to the POs' decision to limit access to the market or free competition. In the absence of precise and consistent indicators, the elements of the file do not allow for the characterization of a possible vertical agreement.</w:t>
      </w:r>
    </w:p>
    <w:p>
      <w:r>
        <w:t>71. In accordance with the aforementioned ruling of the Court of Cassation, it is necessary to verify that the practices are not likely to receive another legal qualification.</w:t>
      </w:r>
    </w:p>
    <w:p>
      <w:r>
        <w:t>4. ON THE POSSIBLE EXISTENCE OF AN ABUSE OF ECONOMIC DEPENDENCE</w:t>
      </w:r>
    </w:p>
    <w:p>
      <w:r>
        <w:t>72. The abuse of economic dependence requires the meeting of several cumulative criteria: a sufficient proportion of turnover achieved with the dominant partner (here the client), the existence of alternative solutions or outlets, a certain constraint of the choice of origin, and finally the importance and notoriety of the brand.</w:t>
      </w:r>
    </w:p>
    <w:p>
      <w:r>
        <w:t>73. Regarding the first criterion, the POs represent 70 to 30% of the sales of manufacturers depending on the case. The equity of most of these manufacturers could not reasonably withstand the loss of the POs' clientele for long. Under these conditions, the first criterion can therefore be considered as fulfilled.</w:t>
      </w:r>
    </w:p>
    <w:p>
      <w:r>
        <w:t>74. Regarding the second criterion, wooden crates can also be used in oyster farming, or compete with the cardboard packaging of strawberries or tomatoes marketed by other POs in the Brittany region or in Manche. Consequently, alternative solutions already exist, and this criterion does not appear to be satisfied.</w:t>
      </w:r>
    </w:p>
    <w:p>
      <w:r>
        <w:t>75. Thus, without the need to examine the other criteria, the conditions allowing for the establishment of a situation of economic dependence of crate manufacturers are not met, and it does not seem necessary to proceed with the search for the existence of an abuse.</w:t>
      </w:r>
    </w:p>
    <w:p>
      <w:r>
        <w:t>5. THE MAINE AND LOIRE INDEX TRANSMITTED BY DGCCRF ON JANUARY 8, 2009</w:t>
      </w:r>
    </w:p>
    <w:p>
      <w:r>
        <w:t>76. The facts observed in Maine and Loire and transmitted by DGCCRF in 2009 to the investigation services do not fall within the scope of the referral, as they do not concern the same</w:t>
      </w:r>
    </w:p>
    <w:p>
      <w:r>
        <w:rPr>
          <w:b/>
        </w:rPr>
        <w:t>[Pages 13–13]</w:t>
      </w:r>
    </w:p>
    <w:p>
      <w:r>
        <w:t>geographical sector nor the same operators and are subsequent to those referred to in the referral.</w:t>
      </w:r>
    </w:p>
    <w:p>
      <w:r>
        <w:t>77. Regarding the facts attributed to the manufacturers of wooden packaging, and in the absence of sufficiently probative elements of the existence of an anti-competitive practice, the referral from the minister must be rejected pursuant to Article L. 462-8 of the Commercial Code.</w:t>
      </w:r>
    </w:p>
    <w:p>
      <w:r>
        <w:t>78. Regarding the practices attributed to the POs, materially established but which are not likely to harm competition in the market, it is appropriate to apply the provisions of Article L. 464-6 of the Commercial Code and to declare a non-suit to continue the proceedings.</w:t>
      </w:r>
    </w:p>
    <w:p>
      <w:r>
        <w:t>DECISION</w:t>
        <w:br/>
        <w:t>Article 1: The referral from the minister registered under number 07/0048 F is rejected as it concerns the facts attributed to the manufacturers of wooden packaging.</w:t>
        <w:br/>
        <w:t>Article 2: There is no need, for the remainder, to continue the proceedings.</w:t>
      </w:r>
    </w:p>
    <w:p>
      <w:r>
        <w:t>Deliberated on the oral report of Ms. Monique Rouzaud-Mouton, rapporteur, and the intervention of Ms. Carole Champalaune, deputy general rapporteur, by Mr. Patrick Spilliaert, vice-president, session president, and Ms. Pierrette Pinot, Laurence Idot, and Reine-Claude Mader-Saussaye, members.</w:t>
      </w:r>
    </w:p>
    <w:p>
      <w:r>
        <w:t>The session secretary, The vice-president,</w:t>
        <w:br/>
        <w:t>Marie-Anselme Lienafa Patrick Spilliaert</w:t>
        <w:br/>
        <w:t>© Competition Authority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