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https://www.autoritedelaconcurrence.fr/fr/decision/relative-des-pratiques-relevees-dans-le-secteur-des-jeux-automatiques-pieces-de-monnaie</w:t>
      </w:r>
    </w:p>
    <w:p>
      <w:r>
        <w:t>Pages translated : 8</w:t>
      </w:r>
    </w:p>
    <w:p/>
    <w:p>
      <w:r>
        <w:rPr>
          <w:b/>
        </w:rPr>
        <w:t>[Pages 1–3]</w:t>
      </w:r>
    </w:p>
    <w:p>
      <w:r>
        <w:t xml:space="preserve">FRENCH REPUBLIC  </w:t>
        <w:br/>
        <w:t xml:space="preserve">Decision No. 94-D-22 of April 5, 1994  </w:t>
        <w:br/>
        <w:t xml:space="preserve">regarding practices identified in the sector  </w:t>
        <w:br/>
        <w:t xml:space="preserve">of coin-operated automatic games  </w:t>
        <w:br/>
        <w:t xml:space="preserve">The Competition Council (permanent commission),  </w:t>
        <w:br/>
        <w:t xml:space="preserve">Having regard to the letter registered on January 17, 1992, under number F.464, by which the companies Paris Automatique, Flandres Automatique, Transcards, Kendo, Vidéokit, Avranches Automatique, and Sistème referred to the Competition Council practices implemented by the Kunick-Amiro group;  </w:t>
        <w:br/>
        <w:t xml:space="preserve">Having regard to Ordinance No. 86-1243 of December 1, 1986, as amended, relating to the freedom of prices and competition and Decree No. 86-1309 of December 29, 1986, as amended, taken for its application;  </w:t>
        <w:br/>
        <w:t xml:space="preserve">Having regard to Decision No. 92-MC-06 of the Competition Council, dated March 10, 1992, regarding a request for interim measures;  </w:t>
        <w:br/>
        <w:t xml:space="preserve">Having regard to the letter from the President of the Competition Council dated November 16, 1993, by which he decided to bring the case before the permanent commission;  </w:t>
        <w:br/>
        <w:t xml:space="preserve">Having regard to the observations presented by the applicant companies, the company Player Special Diffusion, and the Government Commissioner;  </w:t>
        <w:br/>
        <w:t xml:space="preserve">Having regard to the other documents in the file;  </w:t>
        <w:br/>
        <w:t xml:space="preserve">The rapporteur, the general rapporteur, the Government Commissioner, and the representatives of the companies Paris Automatique, Flandres Automatique, Transcards, Kendo, Vidéokit, Avranches Automatique, Sistème, and Player Special Diffusion heard,  </w:t>
        <w:br/>
        <w:t xml:space="preserve">Adopts the decision based on the findings (I) and the reasons (II) set forth below:  </w:t>
        <w:br/>
        <w:t xml:space="preserve">I. - FINDINGS  </w:t>
        <w:br/>
        <w:t xml:space="preserve">A. - The sector of coin-operated automatic games  </w:t>
        <w:br/>
        <w:t xml:space="preserve">1. The sector concerned  </w:t>
        <w:br/>
        <w:t>The automatic devices operating with a coin include several types of games: electronic billiards (pinball), video games, table football (foosball), billiards, and automatic jukeboxes.</w:t>
      </w:r>
    </w:p>
    <w:p>
      <w:r>
        <w:t xml:space="preserve">Technically, these games involve three different mechanisms: electronic (electronic billiards), computer-based (video games), or mechanical (foosball, billiards, jukebox). The manufacturers are distinct according to the types of games. The demand for automatic games is constituted by operators who are either owners or lessees. The games are placed on deposit in public places (drinking establishments, snack bars, hotels, fairs) or directly managed in specialized rooms (game rooms or fairs). While foosball and billiards have relatively long operating durations over several years, for electronic billiards, this duration is about two years, and a new model is released approximately every three months. For video games, the cabinet remains the same for about four to five years, but the logic boards are generally changed each year.  </w:t>
        <w:br/>
        <w:t xml:space="preserve">In 1991, the price of an electronic billiard ranged between 17,000 F and 28,000 F, the price of a foosball was between 8,000 F and 10,000 F, the price of a billiard ranged between 9,000 F and 10,000 F, and the price of a jukebox was between 25,000 F and 40,000 F. At the same time, a cabinet for video games was sold for around 20,000 F, to which the cost of the logic boards, ranging from 2,000 F to 10,000 F, should be added.  </w:t>
        <w:br/>
        <w:t xml:space="preserve">2. The product  </w:t>
        <w:br/>
        <w:t xml:space="preserve">Among automatic games, electronic billiards differ from other games by the specific characteristics of the product (operating method based on fashion phenomena, game principle, operating duration, manufacturing technique, price difference) and a particular image that does not allow it to be interchangeable with other coin-operated games.  </w:t>
        <w:br/>
        <w:t xml:space="preserve">The manufacturers, all of American origin (Gottlieb Premier, Williams, Bally, and Data East), each distribute their own brand that bears their name.  </w:t>
        <w:br/>
        <w:t xml:space="preserve">Importers are classified into two categories: importers of the Amiro group and independents.  </w:t>
        <w:br/>
        <w:t xml:space="preserve">The Amiro group, represented by the company Amiro France S.A., is controlled by the English company Kunick, which has developed its activity in various sectors. Amiro France has several subsidiaries in France, five of which are in the gaming sector. The most important is the company Player Special Diffusion (P.S.D.), a subsidiary since 1990, at 99%. It has held the exclusive import rights for the Williams and Bally electronic billiard brands since January 1, 1989, renewed on October 26, 1990.  </w:t>
        <w:br/>
        <w:t xml:space="preserve">There are other independent importers, notably Avranches Automatique, importer of Data East brand electronic billiards, which is among the complaining companies, and Monpal S.A., which imports Gottlieb brand electronic billiards.  </w:t>
        <w:br/>
        <w:t xml:space="preserve">In addition to the seven complaining companies that market for resale to operators, sourcing from importers, electronic billiards in varying proportions (the sale of electronic billiards represents 16% of the turnover of Sistème against 52% for Avranches Automatique), other independent distributors are present in this market.  </w:t>
        <w:br/>
        <w:t xml:space="preserve">In the new electronic billiard market, the transaction amount in 1991 totaled more than 118 million francs.  </w:t>
        <w:br/>
        <w:t xml:space="preserve">3. The distribution of new electronic billiard sales highlights the dominance of the company P.S.D.  </w:t>
        <w:br/>
        <w:t xml:space="preserve">The Williams brand represented, in volume, 43.1% of the total new electronic billiard sales in 1989, 41.4% in 1990, and 33% in 1991. The Bally brand reached respectively 16.3%, 22.8%, and 23.6%.  </w:t>
        <w:br/>
        <w:t xml:space="preserve">In value, the two brands imported by P.S.D., which represented 64.4% of the total sales in 1989, significantly declined in 1990 and 1991, while still remaining strongly predominant, overall decreasing from 68.7% to 56.9% of the market.  </w:t>
        <w:br/>
        <w:t xml:space="preserve">According to the revenue ranking conducted in September 1991 by the magazine Play Meter, the reputation of the electronic billiards of the Williams and Bally brands appears particularly strong. Indeed, these brands occupied, out of ten positions, the top four places, and the Williams and Bally electronic billiards were mentioned eight times. The magazine Replay also published a comparable ranking placing seven electronic billiards of the Williams and Bally brands among the top ten games.  </w:t>
        <w:br/>
        <w:t xml:space="preserve">B. - The practices identified  </w:t>
        <w:br/>
        <w:t xml:space="preserve">1. A uniform selling price for electronic billiards  </w:t>
        <w:br/>
        <w:t xml:space="preserve">With each release of a new model, the importer P.S.D. informed distributors of its arrival on the market, generally by fax, including a brief description of the machine and an order form with the recommended retail price (reference 1031).  </w:t>
        <w:br/>
        <w:t xml:space="preserve">Given the exclusive import rights held by P.S.D. and the substantially identical management costs of all distributors, the retail prices to operators of the Williams and Bally electronic billiards were approximately the same, around 20,000 F (annex 26, references 2172 to 2175).  </w:t>
        <w:br/>
        <w:t xml:space="preserve">2. The termination of business relations with certain companies  </w:t>
        <w:br/>
        <w:t xml:space="preserve">On August 22, 1991, while the arrival on the French market of a new Williams electronic billiard called 'Terminator II' had been announced by the specialized press and while P.S.D. had not informed its clients, this company indicated that its commercial conditions had changed when certain non-Amiro group distributors sent it unsolicited orders.  </w:t>
        <w:br/>
        <w:t>Previously, the discount granted to independent distributors was about 15%. However, from August 22, 1991, the discount granted to independent distributors relative to the recommended retail price was unilaterally reduced to 5%.</w:t>
      </w:r>
    </w:p>
    <w:p>
      <w:r>
        <w:rPr>
          <w:b/>
        </w:rPr>
        <w:t>[Pages 4–6]</w:t>
      </w:r>
    </w:p>
    <w:p>
      <w:r>
        <w:t xml:space="preserve">S.A.R.L. Centrale Amusements, le jeu vidéo est considéré comme un complément au billard électronique et non comme un substitut.  </w:t>
        <w:br/>
        <w:t xml:space="preserve">Considérant que, par conséquent, le marché pertinent doit être défini comme celui des appareils de jeux récréatifs, en excluant les jeux vidéo et les autres types de jeux, tels que les électrophones et les babyfoots.  </w:t>
        <w:br/>
        <w:t xml:space="preserve">Sur la position dominante de P.S.D.:  </w:t>
        <w:br/>
        <w:t xml:space="preserve">Considérant que P.S.D. détient une position dominante sur le marché des billards électroniques, en raison de sa part de marché significative et de son contrôle sur la distribution de ces produits en France;  </w:t>
        <w:br/>
        <w:t xml:space="preserve">Considérant que cette position dominante est renforcée par les pratiques commerciales mises en œuvre, qui ont eu pour effet de restreindre la concurrence sur le marché, notamment par la réduction unilatérale des remises accordées aux distributeurs indépendants et par l'impossibilité pour ces derniers de se fournir en billards électroniques auprès d'autres importateurs;  </w:t>
        <w:br/>
        <w:t xml:space="preserve">Considérant que ces pratiques ont eu pour conséquence de nuire aux distributeurs indépendants et de restreindre l'accès des consommateurs à une offre diversifiée de produits;  </w:t>
        <w:br/>
        <w:t xml:space="preserve">Considérant que, par conséquent, P.S.D. a abusé de sa position dominante en adoptant des comportements anticoncurrentiels, en violation des dispositions des articles L. 420-1 et L. 420-2 du Code de commerce;  </w:t>
        <w:br/>
        <w:t xml:space="preserve">Sur les sanctions:  </w:t>
        <w:br/>
        <w:t xml:space="preserve">Considérant que, eu égard à la gravité des faits constatés et à l'impact sur le marché, il convient d'infliger à P.S.D. une amende proportionnée à la gravité de l'infraction;  </w:t>
        <w:br/>
        <w:t xml:space="preserve">Considérant que l'amende doit être fixée en tenant compte du chiffre d'affaires réalisé par P.S.D. sur le marché des billards électroniques, ainsi que des bénéfices tirés des pratiques anticoncurrentielles;  </w:t>
        <w:br/>
        <w:t xml:space="preserve">Considérant que, par conséquent, le montant de l'amende sera fixé à 10 millions de francs;  </w:t>
        <w:br/>
        <w:t xml:space="preserve">DECIDE:  </w:t>
        <w:br/>
        <w:t xml:space="preserve">Article 1: P.S.D. est déclarée coupable d'abus de position dominante sur le marché des billards électroniques.  </w:t>
        <w:br/>
        <w:t xml:space="preserve">Article 2: P.S.D. est condamnée à payer une amende de 10 millions de francs.  </w:t>
        <w:br/>
        <w:t xml:space="preserve">Article 3: Cette décision sera notifiée à P.S.D. et publiée au Journal officiel.  </w:t>
        <w:br/>
        <w:t>Article 4: La présente décision pourra faire l'objet d'un recours devant la Cour d'appel compétente.</w:t>
      </w:r>
    </w:p>
    <w:p>
      <w:r>
        <w:rPr>
          <w:b/>
        </w:rPr>
        <w:t>[Pages 7–8]</w:t>
      </w:r>
    </w:p>
    <w:p>
      <w:r>
        <w:t xml:space="preserve">Mrs. two substitutable goods; thus, the administrative report was able to note, based on the hearings conducted with the operating professionals, that in a café, the electronic billiard is among the installed games the base game and that, according to the statements of Mr. Tastet, head of the Tastami company, a subsidiary of P.S.D., 'if there is only one game, it is a pinball'; that, moreover, the representative of P.S.D. specified in the session that between August 1991 and November 1992, when independent distributors had difficulties sourcing automatic billiards from the Williams and Bally brands, they shifted their purchases to other brands of automatic billiards and not to video games; that, although the overall annual revenue for a device amounts, according to the General Directorate of Taxes, to 16,000 F for an automatic billiard and 18,000 F for a video game, the share of electronic billiards in the total park of automatic games (42 percent) represents more than double that of video games (20 percent); that this difference cannot be explained by the age of the stock of electronic billiards as it is established that these are changed on average every two years; that thus it results from these various elements that buyers of these devices attribute specific qualities to electronic billiards that make it a non-substitutable product compared to other coin-operated games and that it therefore constitutes a specific market;  </w:t>
        <w:br/>
        <w:t xml:space="preserve">On the dominant position:  </w:t>
        <w:br/>
        <w:t xml:space="preserve">Considering that it is established that the share of P.S.D.'s sales in the new electronic billiard market with the Williams and Bally brands was 64.4 percent in 1989, 68.7 percent in 1990, and 56.9 percent in 1991; that thus P.S.D. was in a dominant position in the new electronic billiard market during the period considered; that it matters little in this regard, contrary to what P.S.D. argues, that the average percentage of turnover achieved with this company by the complaining companies was only 18.7 percent in 1990 and 14.6 percent in 1991;  </w:t>
        <w:br/>
        <w:t xml:space="preserve">Considering that it results from the ratings made by automatic game magazines that the automatic billiards of the Williams or Bally brands are ranked among the top for their sales and profitability; that thus, their notoriety is particularly strong among operators and players;  </w:t>
        <w:br/>
        <w:t xml:space="preserve">On the abuses of dominant position:  </w:t>
        <w:br/>
        <w:t xml:space="preserve">Considering that between August 1991 and June 1992, P.S.D. granted differentiated discounts to members of the Amiro group, compared to independent resellers; that these sales conditions, insofar as they were not justified by real counterparts, had a discriminatory nature; that this company also unilaterally reduced the percentage of the discount granted to independent resellers from 15.5 percent to 5 percent whereas with this rate they could not cover their costs and were therefore forced either to incur losses or to abandon the marketing of the Williams and Bally brands; that it also, in August 1991, refused to send to independent distributors, contrary to usual practice, an order form on the occasion of the release of the new Williams 'Terminator II' model, whereas the order forms constituted the only means of access to supply from the importer, in automatic billiards; that it finally, occasionally, sold directly to operators automatic billiards at a price lower than that at which they were offered to independent distributors; that all of these elements characterize an abuse by P.S.D. which had the object or could have the effect of eliminating competition in the new pinball market;  </w:t>
        <w:br/>
        <w:t xml:space="preserve">Considering that while P.S.D. argues that the differentiated sales conditions between distributors are compatible with competition law as long as specific quantitative discounts are granted to distributors grouped under a common brand, it appears, however, from the findings that the members of the Amiro group did not market products under a common brand but under their own corporate name;  </w:t>
        <w:br/>
        <w:t xml:space="preserve">Considering that the practices denounced have a direct causal link with the dominant power exercised by this company insofar as it took advantage of the fact that it held more than 50 percent of the new electronic billiard market with the two most renowned brands to impose its actions;  </w:t>
        <w:br/>
        <w:t xml:space="preserve">Considering that P.S.D. claims that the denounced practices had only a limited scope and did not cause a significant harm to the game of competition;  </w:t>
        <w:br/>
        <w:t xml:space="preserve">Considering, however, that Article 7 of the ordinance of December 1, 1986 prohibits concerted actions, agreements, express or tacit understandings, or coalitions, as long as they have the object or can have the effect of preventing, restricting, or distorting the game of competition; that Article 8 of the same text is applicable under the same conditions; that thus any practice is prohibited by these provisions, even if it has no effect, as long as it has an object or can have an anti-competitive effect on the market;  </w:t>
        <w:br/>
        <w:t xml:space="preserve">Considering that it results from all of the above that the aforementioned practices implemented by the company P.S.D. are prohibited by Article 8(1) of the ordinance of December 1, 1986;  </w:t>
        <w:br/>
        <w:t xml:space="preserve">On the sanction:  </w:t>
        <w:br/>
        <w:t xml:space="preserve">Considering that the seriousness of the practices implemented by the company P.S.D. results from the multifaceted and systematic nature of the actions taken by this company which used its position to seek to eliminate companies from the concerned market;  </w:t>
        <w:br/>
        <w:t xml:space="preserve">Considering that these infringements, aimed at restricting competition in favor of only the companies belonging to the Amiro group, occurred over a continuous period of fifteen months; that these exclusionary practices were implemented against companies representing at least one-third of sales in the considered market;  </w:t>
        <w:br/>
        <w:t xml:space="preserve">Considering that P.S.D. achieved a turnover of 149,135,807 F from October 1, 1992, to September 30, 1993; that under these conditions, it is appropriate to impose a monetary sanction of 400,000 F,  </w:t>
        <w:br/>
        <w:t xml:space="preserve">Decides:  </w:t>
        <w:br/>
        <w:t xml:space="preserve">Art. 1. - A monetary sanction of 400,000 F is imposed on the company P.S.D.  </w:t>
        <w:br/>
        <w:t xml:space="preserve">Deliberated on the report of Mr. François Vaissette, by Mr. Barbeau, president, and Messrs. Cortesse and Jenny, vice-presidents.  </w:t>
        <w:br/>
        <w:t xml:space="preserve">The general rapporteur The president  </w:t>
        <w:br/>
        <w:t xml:space="preserve">Mr. Sadaoui C.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