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https://www.autoritedelaconcurrence.fr/fr/decision/relative-des-pratiques-relevees-dans-le-secteur-des-marches-publics-dentretien-de</w:t>
      </w:r>
    </w:p>
    <w:p>
      <w:r>
        <w:t>Pages translated : 28</w:t>
      </w:r>
    </w:p>
    <w:p/>
    <w:p>
      <w:r>
        <w:rPr>
          <w:b/>
        </w:rPr>
        <w:t>[Pages 1–3]</w:t>
      </w:r>
    </w:p>
    <w:p>
      <w:r>
        <w:t xml:space="preserve">FRENCH REPUBLIC  </w:t>
        <w:br/>
        <w:t xml:space="preserve">Decision No. 08-D-29 of December 3, 2008  </w:t>
        <w:br/>
        <w:t xml:space="preserve">regarding practices identified in the public procurement sector  </w:t>
        <w:br/>
        <w:t>for maintenance of metalwork, carpentry, and locksmithing</w:t>
      </w:r>
    </w:p>
    <w:p>
      <w:r>
        <w:t xml:space="preserve">The Competition Council (Section IV),  </w:t>
        <w:br/>
        <w:t xml:space="preserve">Having regard to the letter registered on August 11, 2006, under number 06/0057 F, by which the Minister of Economy, Industry, and Finance referred to the Competition Council practices implemented by the companies Girod Père et Fils and SMAB in the public procurement sector for maintenance of metalwork, carpentry, and locksmithing, which may be subject to Article L. 420-1 of the Commercial Code;  </w:t>
        <w:br/>
        <w:t xml:space="preserve">Having regard to Book IV of the Commercial Code relating to price freedom and competition;  </w:t>
        <w:br/>
        <w:t xml:space="preserve">Having regard to the decision of the President of the Competition Council dated July 24, 2008, made pursuant to Article L. 463-3 of the Commercial Code, which states that the matter will be subject to a decision of the Council without prior establishment of a report;  </w:t>
        <w:br/>
        <w:t xml:space="preserve">Having regard to the minutes of September 29, 2008, by which the Deputy General Rapporteur of the Competition Council committed to propose to the Council to grant the company Girod Père et Fils the benefit of the provisions of III of Article L. 464-2 of the Commercial Code;  </w:t>
        <w:br/>
        <w:t xml:space="preserve">Having regard to the minutes of September 29, 2008, by which the Deputy General Rapporteur of the Competition Council committed to propose to the Council to grant the company SMAB the benefit of the provisions of III of Article L. 464-2 of the Commercial Code;  </w:t>
        <w:br/>
        <w:t xml:space="preserve">Having regard to the observations presented by the companies Girod Père et Fils and SMAB on October 10, 2008;  </w:t>
        <w:br/>
        <w:t xml:space="preserve">Having regard to the observations presented by the Government Commissioner on September 1 and October 10, 2008;  </w:t>
        <w:br/>
        <w:t xml:space="preserve">Having regard to the other documents in the file;  </w:t>
        <w:br/>
        <w:t xml:space="preserve">The Rapporteur, the Deputy General Rapporteur, the Government Commissioner, and the representatives of the company Girod Père et Fils and the company of art and building metalwork (SMAB) heard during the session of November 4, 2008;  </w:t>
        <w:br/>
        <w:t>Adopts the following decision:</w:t>
      </w:r>
    </w:p>
    <w:p>
      <w:r>
        <w:t xml:space="preserve">I. Findings  </w:t>
        <w:br/>
        <w:t xml:space="preserve">1. On August 11, 2006, the Minister of Economy, Finance, and Industry referred to the Competition Council practices identified in the public procurement sector for maintenance of metalwork, carpentry, and locksmithing against the Company of Art and Building Metalwork (SMAB) and the company Girod Père et Fils (Girod).  </w:t>
        <w:br/>
        <w:t xml:space="preserve">2. The investigation by the DDCCRF of Val de Marne, which underpins the referral, revealed, based on the analysis of twenty-three Île-de-France contracts to which the two companies submitted bids between 2002 and 2005, facts likely to constitute an agreement between these two companies:  </w:t>
        <w:br/>
        <w:t xml:space="preserve">• The companies SMAB and Girod, which maintain close personal, capital, and technical ties, submitted bids in a coordinated manner for several contracts without informing public buyers, which can be analyzed as a concertation likely to mislead the public buyer about the reality of competition in the markets concerned;  </w:t>
        <w:br/>
        <w:t xml:space="preserve">• The structure of the discounts on the prices proposed by the two bidders was intended to make this arrangement appear particularly advantageous for the purchasing communities.  </w:t>
        <w:br/>
        <w:t>3. The investigation originated from a regulatory reminder that was notified by the DDCCRF services on April 18, 2000, to Mr. X..., then head of the two companies, for failing to disclose to the project owner the ties that bound them during their participation in two calls for tenders launched in 1999 by the OPAC of Paris. The persistence of this behavior, also observed during the awarding in 2003 by the city of Rueil-Malmaison of a call for tenders related to a contract for "development works, major repairs, and maintenance," motivated the investigation entrusted by the central administration to the DDCCRF of Val de Marne.</w:t>
      </w:r>
    </w:p>
    <w:p>
      <w:r>
        <w:t xml:space="preserve">A. COMPANIES AND CONTRACTS CONCERNED  </w:t>
        <w:br/>
        <w:t xml:space="preserve">1. A "GROUP OF COMPANIES" STRONGLY INTEGRATED FOSTERING CLOSE COORDINATION OF BIDS FOR PUBLIC CONTRACTS  </w:t>
        <w:br/>
        <w:t>4. During the period of the practices, the companies Girod and SMAB constituted a group of companies, due to the unity of control and management of the two companies by Mr. X.... The company SMAB is almost exclusively owned by Mr. X... (99.9%). The company Girod is predominantly owned (67%) by him, directly and through his holdings in the company SALGI. Furthermore, both companies engage in identical activities in the fields of carpentry, metalwork, and locksmithing as well as in the maintenance of installations, primarily for public operators. Public contracts also represent more than 80% of the turnover of both companies.</w:t>
      </w:r>
    </w:p>
    <w:p>
      <w:r>
        <w:t xml:space="preserve">5. The integration of the means and organization of the two companies is characterized by:  </w:t>
        <w:br/>
        <w:t xml:space="preserve">• Shared premises rented to SMAB by Girod, which owns them. They are subject to a distribution of space by economic function (administration, production, storage) and not by entity. Moreover, their layout allows the headquarters to be domiciled at different addresses, thereby enhancing, among other factors, the appearance of autonomy of the bids for the calls for tenders;  </w:t>
        <w:br/>
        <w:t xml:space="preserve">• The provision by Girod to SMAB of administrative and commercial resources that it lacks under a paid agreement dated January 3, 2003 (executives, employees, technicians, and administrative and commercial supervisors). SMAB indeed lacks both a sufficient technical and administrative management structure and a commercial service. In this latter area, the integration is even more evident as the site technicians in charge of the SMAB client portfolio are exclusively employees of Girod;  </w:t>
        <w:br/>
        <w:t xml:space="preserve">• The use by SMAB in its commercial documents of the telephone numbers corresponding to subscriptions of the Girod company.  </w:t>
        <w:br/>
        <w:t>6. In terms of logistics and organization, SMAB therefore only has the necessary resources to carry out its activity by relying on the management resources, administrative, technical, and management structures, as well as the premises owned by Girod Père et Fils.</w:t>
      </w:r>
    </w:p>
    <w:p>
      <w:r>
        <w:t xml:space="preserve">2. PUBLIC CONTRACTS FOR METALWORK, CARPENTRY, AND LOCKSMITHING IN ÎLE-DE-FRANCE  </w:t>
        <w:br/>
        <w:t xml:space="preserve">7. The analyzed contracts consist of 24 public contracts for maintenance of metalwork, carpentry, and locksmithing awarded to Girod and SMAB between 2002 and 2005, launched by four departments (Paris, Val-de-Marne, Seine-Saint-Denis, Hauts-de-Seine), by six municipalities (Paris, Argenteuil, Versailles, Massy, Athis-Mons, Rueil-Malmaison), by three public hospitals (National Ophthalmology Hospital Center of Quinze-Vingt, Esquirol and Saint-Maurice hospitals), and by the public HLM office of Hauts-de-Seine. They were selected by the services of the DDCCRF of Val de Marne from 54 contracts awarded to Girod (37) or to SMAB (17), for which these companies submitted offers simultaneously or successively.  </w:t>
        <w:br/>
        <w:t xml:space="preserve">8. These are purchase order contracts generally divided into geographical or sectoral lots by trade.  </w:t>
        <w:br/>
        <w:t xml:space="preserve">9. The allotment provided for by Article 10 of the Public Procurement Code to "encourage the widest competition" is used when the magnitude of the work to be carried out risks exceeding the technical or financial capacities of a single company, each lot, of lesser importance, being able to be executed by small or medium-sized enterprises. The same applies in cases where a single company cannot meet extremely short execution deadlines except by adopting a work pace requiring additional expenses that significantly increase the cost of the services.  </w:t>
        <w:br/>
        <w:t xml:space="preserve">10. For these contracts, the public buyer may prohibit candidates from bidding on multiple lots or accept a bid for all lots, then requiring them to propose a priority order, or limit the award to one lot. For the evaluation of offers, companies must for certain contracts present their price offer in the form of a discount applied to a reference price list or a standard quote.  </w:t>
        <w:br/>
        <w:t>11. We will distinguish between the contracts for which Girod and SMAB sought to optimize the potential of the consultation regulations from those following a strategy of differentiation of their respective offers.</w:t>
      </w:r>
    </w:p>
    <w:p>
      <w:r>
        <w:rPr>
          <w:b/>
        </w:rPr>
        <w:t>[Pages 4–6]</w:t>
      </w:r>
    </w:p>
    <w:p>
      <w:r>
        <w:t>a) The contracts for which the companies optimized the potential of the consultation regulations</w:t>
      </w:r>
    </w:p>
    <w:p>
      <w:r>
        <w:t>The contracts of the city and department of Paris</w:t>
      </w:r>
    </w:p>
    <w:p>
      <w:r>
        <w:t>12. The city of Paris has a special status under the general code of local authorities, with the Paris council meeting as a general council. The contracts awarded by the department of Paris are therefore awarded concurrently with those of the city and often under identical conditions. Thus, the tender commission and the project management services are the same. The only difference concerns the buildings that fall under the departmental budget or the city budget.</w:t>
      </w:r>
    </w:p>
    <w:p>
      <w:r>
        <w:t>13. The contracts launched by the city and the department of Paris, for 2002 to 2004 and then for 2005, present identical characteristics.</w:t>
      </w:r>
    </w:p>
    <w:p>
      <w:r>
        <w:t>The contracts awarded for the years 2002 to 2004</w:t>
      </w:r>
    </w:p>
    <w:p>
      <w:r>
        <w:t>14. The heritage and architecture department (DPA) of the city of Paris launched, on October 26, 2001, as part of an open European call for tenders, purchase order contracts for maintenance and development works in public facilities and premises under the city of Paris. The services are divided into 28 separate lots, each subject to a distinct contract. These 28 lots concern 4 trades, including the trade "metalwork" (F), divided into 4 geographical intervention sectors (F1, F2, F3, F4). Each sector is itself divided into 2 equivalent lots, so the metalwork trade is divided into 8 lots corresponding to distinct contracts: F1.1, F1.2, F2.1, F2.2, F3.1, F3.2, F4.1, F4.2.</w:t>
      </w:r>
    </w:p>
    <w:p>
      <w:r>
        <w:t>15. The consultation regulations provide that each candidate may submit an offer for each of the 28 lots, but that they can only be awarded one lot per trade. In the event of multiple offers from the same candidate for the same trade, it is the project owner who will decide which lot will be awarded.</w:t>
      </w:r>
    </w:p>
    <w:p>
      <w:r>
        <w:t>16. Regarding the trade "metalwork," the contract led to 4 successive calls for tenders.</w:t>
      </w:r>
    </w:p>
    <w:p>
      <w:r>
        <w:t>17. During the first call for tenders, the companies SMAB and Girod simultaneously submitted offers for four lots (F1.2, F3.2, F4.1, and F4.2), with Girod also submitting separately for others (F1.1, F2.2, F3.2). Five other companies submitted bids for all the "metalwork" lots. The company SMAB was excluded for non-compliance, as was another candidate, and the tender commission decided, in application of the rule of awarding one lot per trade, to allocate the first lot of each geographical sector to the most advantageous company that did not yet have a lot. The company Girod obtained lot F1.1, with four other companies being awarded lots F1.2, F2.1, F3.1, and F4.1 respectively. The consultation was relaunched under the same conditions for the unawarded lots, declared unsuccessful (F2.2, F3.2, and F4.2).</w:t>
      </w:r>
    </w:p>
    <w:p>
      <w:r>
        <w:t>18. During the second call for tenders launched by the city of Paris on February 22, 2002, the consultation regulations were modified to make the rule of awarding one lot per trade compatible with the awards already made. Consequently, companies already awarded a lot following the first consultation could not be awarded a second lot of the same trade. The submissions were limited to the companies Girod and SMAB, each being a candidate for the three offered lots. The commission decided to retain the SMAB offer for lot F2.2, with the remaining two lots being declared unsuccessful (F3.2, F4.2) and the consultation relaunched.</w:t>
      </w:r>
    </w:p>
    <w:p>
      <w:r>
        <w:t>19. The third call for tenders launched on July 19, 2002, resulted in a slight adaptation of the consultation regulations: contractors wishing to submit bids and already awarded a lot following the first two consultations could not be awarded a new lot of the same trade. The sole offer from the company Girod for the two lots was not considered as it held lot F1.1, awarded during the first call for tenders. The market was declared unsuccessful and relaunched concerning lots F3.2 and F4.2.</w:t>
      </w:r>
    </w:p>
    <w:p>
      <w:r>
        <w:t>20. The fourth call for tenders launched on July 11, 2003, resulted in a relaxation of the award rule. The same candidate could be awarded both proposed lots provided they possess sufficient human and technical resources. However, companies already awarded a lot following the three previous consultations could only be awarded a second lot if that lot was not the second of the same geographical sector. Four companies submitted bids for the two lots, including Girod, which obtained lot F4.2, thanks to the relaxation measure.</w:t>
      </w:r>
    </w:p>
    <w:p>
      <w:r>
        <w:t>21. At the end of the four consultations, the 8 lots of the metalwork trade, each corresponding to a distinct contract, were awarded under the following conditions, Girod Père et Fils obtaining lots F1.1 and F4.2, SMAB obtaining lot F2.2.</w:t>
      </w:r>
    </w:p>
    <w:p>
      <w:r>
        <w:t>Table 1: City of Paris (contracts launched between 2001 and 2003 for the years 2002 to 2004)</w:t>
      </w:r>
    </w:p>
    <w:p>
      <w:r>
        <w:t>Companies | Awarded Contract</w:t>
        <w:br/>
        <w:t>--- | ---</w:t>
        <w:br/>
        <w:t>Girod | F 1.1 (1st call for tenders)</w:t>
        <w:br/>
        <w:t>| F 4.2 (4th call for tenders)</w:t>
        <w:br/>
        <w:t>Métallerie Marie | F 2.1 (1st call for tenders)</w:t>
        <w:br/>
        <w:t>ECTB | F 3.1 (1st call for tenders)</w:t>
        <w:br/>
        <w:t>SAM + | F 4.1 (1st call for tenders)</w:t>
        <w:br/>
        <w:t>| F 3.2 (4th call for tenders)</w:t>
        <w:br/>
        <w:t>SAHU | F 1.2 (1st call for tenders)</w:t>
        <w:br/>
        <w:t>SMAB | F 2.2 (2nd call for tenders)</w:t>
      </w:r>
    </w:p>
    <w:p>
      <w:r>
        <w:t>22. The heritage and architecture department of the city of Paris (DPA) launched, on October 26, 2001, as part of an open European call for tenders, purchase order contracts for maintenance and development works in public facilities and premises under the budget of the department of Paris. The division of the contract into 28 distinct lots follows the same type of division as that of the city contracts. The metalwork trade (N) is therefore divided into 8 lots corresponding to distinct contracts: N1.1, N1.2, N2.1, N2.2, N3.1, N3.2, N4.1, N4.2. The consultation regulations present the same characteristics as those of the city of Paris contracts.</w:t>
      </w:r>
    </w:p>
    <w:p>
      <w:r>
        <w:t>23. Regarding the trade "metalwork," the contract also led to four successive calls for tenders, launched on the same dates as those of the city of Paris contracts.</w:t>
      </w:r>
    </w:p>
    <w:p>
      <w:r>
        <w:t>24. During the first call for tenders, the companies SMAB and Girod simultaneously submitted offers for two lots (N3.1, N3.2), with Girod also being a candidate for the other six. Three other companies submitted bids for all the "metalwork" lots and a fourth for part of the lots. The offers of four of the six bidders were excluded: the SMAB offer was excluded for lack of a candidacy envelope and that of Girod for lack of mandatory documents, while those of two other candidates were excluded due to insufficient references. The commission awarded lots N1.1 and N3.1 to the companies still in the running and declared the other six lots unsuccessful, with the consultation being relaunched.</w:t>
      </w:r>
    </w:p>
    <w:p>
      <w:r>
        <w:t>25. The second call for tenders, which concerns the lots not awarded following the first, led to an adaptation of the consultation regulations. Girod and SMAB simultaneously submitted bids for the six lots, along with two other candidates. The commission awarded lots N2.1 and N1.2 respectively to the companies Girod and SMAB and lot N4.1 to another company. It declared the consultation unsuccessful regarding lots N2.2, N3.2, and N4.2 and relaunched it under comparable conditions.</w:t>
      </w:r>
    </w:p>
    <w:p>
      <w:r>
        <w:t>26. The third call for tenders was declared unsuccessful due to the absence of candidacy and was then relaunched.</w:t>
      </w:r>
    </w:p>
    <w:p>
      <w:r>
        <w:t>27. Regarding the fourth call for tenders, the regulations were relaxed, allowing a candidate to be awarded the three remaining lots and a company already awarded could only be awarded one or more new lots provided that each lot was not the second of the same geographical sector (N1, N2, N3, or N4). Girod and SMAB submitted bids for the three lots, with another candidacy being received. The commission decided to award lot N4.2 to Girod, which benefited from the relaxation measure, and the other two lots to the other candidate.</w:t>
      </w:r>
    </w:p>
    <w:p>
      <w:r>
        <w:t>28. At the end of the four consultations launched by the department of Paris, the eight lots of the metalwork trade were awarded under the following conditions, with Girod obtaining lots N2.1 and N4.2 and SMAB obtaining lot N1.2.</w:t>
      </w:r>
    </w:p>
    <w:p>
      <w:r>
        <w:t>Table 2: Department of Paris (contracts launched between 2001 and 2003 for the years 2002 to 2004)</w:t>
      </w:r>
    </w:p>
    <w:p>
      <w:r>
        <w:t>Companies | Awarded Contract (lot number)</w:t>
        <w:br/>
        <w:t>--- | ---</w:t>
        <w:br/>
        <w:t>Métallerie Marie | N 1.1 (1st call for tenders)</w:t>
        <w:br/>
        <w:t>ECTB | N 3.1 (1st call for tenders)</w:t>
        <w:br/>
        <w:t>Girod Père et Fils | N 2.1 (2nd call for tenders)</w:t>
        <w:br/>
        <w:t>| N 4.2 (4th call for tenders)</w:t>
        <w:br/>
        <w:t>SAM + | N 4.1 (2nd call for tenders)</w:t>
        <w:br/>
        <w:t>| N 2.2 (4th call for tenders)</w:t>
        <w:br/>
        <w:t>| N 3.2 (4th call for tenders)</w:t>
        <w:br/>
        <w:t>SMAB | N 1.2 (2nd call for tenders)</w:t>
      </w:r>
    </w:p>
    <w:p>
      <w:r>
        <w:t>The contracts awarded for the year 2005</w:t>
      </w:r>
    </w:p>
    <w:p>
      <w:r>
        <w:t>29. The 28 contracts awarded by the heritage and architecture department (DPA) of the city of Paris expiring at the end of 2004 were renewed. The city launched, on April 23, 2004, as part of an open European call for tenders, purchase order contracts for maintenance and development works in public facilities and premises under the municipal budget.</w:t>
      </w:r>
    </w:p>
    <w:p>
      <w:r>
        <w:t>30. The DPA having been designated under the new rules regarding public procurement, as the department responsible for the corresponding contracts for all the city’s departments, it was necessary to broaden the new contracts, size them, and divide them into lots to adapt them to the new needs of the Parisian community.</w:t>
      </w:r>
    </w:p>
    <w:p>
      <w:r>
        <w:rPr>
          <w:b/>
        </w:rPr>
        <w:t>[Pages 7–9]</w:t>
      </w:r>
    </w:p>
    <w:p>
      <w:r>
        <w:t>31. The following modifications result:</w:t>
        <w:br/>
        <w:t>• the trade of locksmithing is qualified as "metalwork-locksmithing";</w:t>
        <w:br/>
        <w:t>• the double allotment by geographical sector, alternating biweekly, is not maintained;</w:t>
        <w:br/>
        <w:t>• the allotment is modified to ensure that for each trade, the sectors are identical in nature of services and equivalent in financial volume. The number of sectors is increased from 4 to 6 for the metalwork-locksmithing trade: F1, F2, F3, F4, F5, and F6;</w:t>
        <w:br/>
        <w:t>• the increase in the number of sectors was intended to allow broader access for SMEs to this type of contract;</w:t>
        <w:br/>
        <w:t>• the same company may hold multiple lots if its capacities are suitable.</w:t>
      </w:r>
    </w:p>
    <w:p>
      <w:r>
        <w:t>32. For the allocation of lots, the consultation regulations state that "for the same trade, a candidate may be awarded multiple lots provided that they present human and material resources compatible with the volume of work to be carried out... Each candidate whose offer is ranked will first be awarded a first lot, and if the number of ranked candidates is less than the number of lots to be awarded, candidates may be awarded a second lot and so on until all lots are awarded."</w:t>
      </w:r>
    </w:p>
    <w:p>
      <w:r>
        <w:t>33. Among the criteria for evaluating offers is the amount of a standard invoice broken down into standard operations. The estimate made by the administration for the standard invoices was based on the highest values of current contracts, and it was decided that offers with a standard invoice amount exceeding 10% of the estimate would be excluded.</w:t>
      </w:r>
    </w:p>
    <w:p>
      <w:r>
        <w:t>34. Girod and SMAB submitted bids for all 6 proposed lots, with 10 other candidates bidding on all or part of the lots. The commission did not open the bids of two companies that did not present suitable technical and human resources for the volume of work. After excluding the SMAB offer, whose standard invoice exceeded the administrative estimate by more than 10%, it awarded lot F6 to Girod and the other 5 lots under the following conditions:</w:t>
        <w:br/>
        <w:t>Table 3: City of Paris (contracts launched in 2004 for the year 2005)</w:t>
        <w:br/>
        <w:t>Companies Awarded Contract (lot number)</w:t>
        <w:br/>
        <w:t>SAM + 7 (F 1)</w:t>
        <w:br/>
        <w:t>SAM + 8 (F 2)</w:t>
        <w:br/>
        <w:t>ECTB 9 (F 3)</w:t>
        <w:br/>
        <w:t>S 3 M 10 (F 4)</w:t>
        <w:br/>
        <w:t>METALLERIE MARIE 11 (F 5)</w:t>
        <w:br/>
        <w:t>GIROD 12 (F 6)</w:t>
      </w:r>
    </w:p>
    <w:p>
      <w:r>
        <w:t>35. The DPA of the City of Paris launched, on April 23, 2004, as part of an open European call for tenders, purchase order contracts for maintenance and development works in public facilities and premises under the departmental budget.</w:t>
      </w:r>
    </w:p>
    <w:p>
      <w:r>
        <w:t>36. The modifications made to the contracts of the City of Paris are fully replicated for the departmental contracts. The number of sectors increases from 4 to 5 concerning metalwork-locksmithing (N1, N2, N3, N4, and N5), which should "allow broader access for SMEs to this type of contract." Furthermore, the criteria for allocation and evaluation of offers are identical.</w:t>
      </w:r>
    </w:p>
    <w:p>
      <w:r>
        <w:t>37. Girod and SMAB each submitted bids for all lots. Eight other companies submitted bids for all lots and one for two lots. The SMAB offer was deemed unacceptable concerning the financial criterion, due to a standard invoice exceeding the administrative evaluation by more than 10%. Two other non-compliant offers were excluded. Two offers were not opened due to insufficient resources. The commission awarded lot N5 to Girod and the other lots under the following conditions:</w:t>
        <w:br/>
        <w:t>Table 4: Department of Paris (contracts launched in 2004 for the year 2005)</w:t>
        <w:br/>
        <w:t>Companies Awarded Contract (lot number)</w:t>
        <w:br/>
        <w:t>SAM + N 1 (6)</w:t>
        <w:br/>
        <w:t>ECTB N 2 (7)</w:t>
        <w:br/>
        <w:t>S 3M N 3 (8)</w:t>
        <w:br/>
        <w:t>Métallerie Marie N 4 (9)</w:t>
        <w:br/>
        <w:t>GIROD PERE ET FILS N 5 (10)</w:t>
      </w:r>
    </w:p>
    <w:p>
      <w:r>
        <w:t>The other departmental contracts</w:t>
        <w:br/>
        <w:t>The contracts of the General Council of Seine-Saint-Denis</w:t>
      </w:r>
    </w:p>
    <w:p>
      <w:r>
        <w:t>38. The Departmental Buildings Directorate of the General Council of Seine-Saint-Denis launched, on September 15, 2003, as part of a restricted call for tenders, a purchase order contract for repairs, small repairs, minor security works, and renovations to be carried out in departmental buildings. The locksmithing trade was the subject of two contracts (lots 1 and 2) and the "aluminum carpentry" trade of a single contract.</w:t>
      </w:r>
    </w:p>
    <w:p>
      <w:r>
        <w:t>39. Candidates have the option to submit a bid for one lot, a bid for several lots, or a bid for all lots. The consultation regulations specify that "a company may only hold one lot."</w:t>
      </w:r>
    </w:p>
    <w:p>
      <w:r>
        <w:t>40. Girod and SMAB each submitted bids for the three contracts and presented differentiated "school hypotheses" with a more favorable positioning for Girod.</w:t>
      </w:r>
    </w:p>
    <w:p>
      <w:r>
        <w:t>41. The tender commission awarded the locksmithing contracts to Girod (lot 1) and to SMAB (lot 2), which were the highest-ranked concerning the school hypothesis.</w:t>
      </w:r>
    </w:p>
    <w:p>
      <w:r>
        <w:t>The contracts of the General Council of Val de Marne</w:t>
      </w:r>
    </w:p>
    <w:p>
      <w:r>
        <w:t>42. The Departmental Buildings Directorate of the General Council of Val de Marne launched in 2003, as part of restricted calls for tenders, seven purchase order contracts for repair, maintenance, restoration, and ongoing maintenance works to be carried out in departmental buildings. These seven contracts correspond to different trades divided by geographical sector. The "aluminum carpentry" trade is split into 4 geographical lots (east 1, east 2, west 1, and west 2).</w:t>
      </w:r>
    </w:p>
    <w:p>
      <w:r>
        <w:t>43. The consultation regulations specify that the same provider may only hold one lot but that companies may bid on multiple lots provided they establish the order of priority for the lots.</w:t>
      </w:r>
    </w:p>
    <w:p>
      <w:r>
        <w:t>44. SMAB submitted a bid for the east-1 and east-2 lots, while Girod focused on the lots in the west sector. The Girod offer was excluded due to a non-compliant on-call system with the contract.</w:t>
      </w:r>
    </w:p>
    <w:p>
      <w:r>
        <w:t>45. The commission awarded the "east 2" lot to SMAB and the other lots to three other companies, based on the level of discount proposed on the Bâtiprix price list.</w:t>
      </w:r>
    </w:p>
    <w:p>
      <w:r>
        <w:t>The contracts of the City of Argenteuil</w:t>
      </w:r>
    </w:p>
    <w:p>
      <w:r>
        <w:t>46. The City of Argenteuil launched, on December 31, 2003, an open call for tenders for maintenance, development, or creation works in municipal heritage buildings. The call for tenders distinguishes the school sector (sector A), which includes elementary and nursery schools, and a sector covering other buildings (sector B). Each of the trades, including the aluminum-PVC carpentry trade (lot 6) and the locksmithing-metalwork trade (lot 9), is subject to a sectoral division, leading to the identification of four lots: 6A, 6B, 9A, and 9B.</w:t>
      </w:r>
    </w:p>
    <w:p>
      <w:r>
        <w:t>47. Candidates may bid on one, several, or all lots, in either sector, but in no case on both sectors.</w:t>
      </w:r>
    </w:p>
    <w:p>
      <w:r>
        <w:t>48. Girod and SMAB applied for lots from different sectors, thus covering the entire contract (Girod: 6A and 9A; SMAB: 6B and 9B). For each of the lots, the other submissions were limited to one company (6A, 9A, and 9B). SMAB was the sole candidate for lot 6B.</w:t>
      </w:r>
    </w:p>
    <w:p>
      <w:r>
        <w:t>49. The Girod and SMAB offers were not retained for lots 6A, 9A, and 9B due to unsatisfactory technical and economic analysis. Lots 9A and 9B were classified as not pursued due to lack of competition, with the other candidacy excluded for failure to comply with the specifications. The tender commission awarded lot 6B to SMAB and lot 6A to another candidate. The unawarded lots were relaunched, but SMAB and Girod did not apply.</w:t>
      </w:r>
    </w:p>
    <w:p>
      <w:r>
        <w:t>b) The contracts primarily following a strategy of differentiation of offers</w:t>
      </w:r>
    </w:p>
    <w:p>
      <w:r>
        <w:t>The contracts of the municipalities of Versailles, Athis-Mons, and Rueil-Malmaison</w:t>
      </w:r>
    </w:p>
    <w:p>
      <w:r>
        <w:t>The contracts of Versailles</w:t>
      </w:r>
    </w:p>
    <w:p>
      <w:r>
        <w:t>50. As part of the renewal of its maintenance contract for municipal buildings, the public procurement department of the City of Versailles launched an open call for tenders on August 29, 2002, in the form of purchase order contracts. The call for tenders includes 11 lots corresponding to different trades, including lot 2, "metalwork, locksmithing, metal framework, aluminum carpentry."</w:t>
      </w:r>
    </w:p>
    <w:p>
      <w:r>
        <w:t>51. The criteria for evaluating offers consist of a price offer in the form of discounts applied to the Bâtiprix 2002 price list and the technical value of the offer, based on a technical memorandum.</w:t>
      </w:r>
    </w:p>
    <w:p>
      <w:r>
        <w:t>52. The companies Girod and SMAB submitted offers for lot 2 and differentiated their discount proposal, making Girod appear as the most advantageous. Three other offers were submitted, one of which was not ranked due to the absence of a technical memorandum. The tender commission retained the Girod offer, which had the highest discount.</w:t>
      </w:r>
    </w:p>
    <w:p>
      <w:r>
        <w:rPr>
          <w:b/>
        </w:rPr>
        <w:t>[Pages 10–12]</w:t>
      </w:r>
    </w:p>
    <w:p>
      <w:r>
        <w:t>The contracts of Athis-Mons</w:t>
      </w:r>
    </w:p>
    <w:p>
      <w:r>
        <w:t>53. On July 4, 2003, the city of Athis-Mons launched a contract for major maintenance and renovation of municipal buildings. The contract includes 8 lots corresponding to different trades, including lot No. 8, metalwork.</w:t>
      </w:r>
    </w:p>
    <w:p>
      <w:r>
        <w:t>54. Companies are invited to submit an offer in the form of a discount on the Bâtiprix rates. It is reminded that the prices are then based on the unit price list of the current year of Bâtiprix, to which the agreed discount stated in the commitment document applies.</w:t>
      </w:r>
    </w:p>
    <w:p>
      <w:r>
        <w:t>55. Regarding lot 8, four companies including Girod and SMAB submitted an offer, with a differentiated discount, positioning Girod more favorably. The latter, which offers the most advantageous discount rate, is awarded the contract.</w:t>
      </w:r>
    </w:p>
    <w:p>
      <w:r>
        <w:t>The contracts of Rueil-Malmaison</w:t>
      </w:r>
    </w:p>
    <w:p>
      <w:r>
        <w:t>56. The general management of technical services of Rueil-Malmaison launched, on February 7, 2003, as part of an open call for tenders, a purchase order contract related to works for development, major repairs, and maintenance in municipal buildings. The contract concerned the trade of metal framework-metalwork (No. 2) and more specifically the single lot A, pertaining to the northern sector of the city.</w:t>
      </w:r>
    </w:p>
    <w:p>
      <w:r>
        <w:t>57. Bidders were required to submit their proposal in the form of a discount on the Bâtiprix 2001 price list.</w:t>
      </w:r>
    </w:p>
    <w:p>
      <w:r>
        <w:t>58. Four companies submitted bids, including Girod and SMAB, which presented differentiated discounts, with a more favorable positioning for Girod. The tender commission selected the most advantageous price offer from Girod, which was awarded lot 2A.</w:t>
      </w:r>
    </w:p>
    <w:p>
      <w:r>
        <w:t>The hospital contracts</w:t>
      </w:r>
    </w:p>
    <w:p>
      <w:r>
        <w:t>The contracts of the Esquirol Hospital and the National Hospital of Saint-Maurice (94)</w:t>
      </w:r>
    </w:p>
    <w:p>
      <w:r>
        <w:t>59. The two hospitals are located on the same site and are managed jointly with a pooling of economic and technical services.</w:t>
      </w:r>
    </w:p>
    <w:p>
      <w:r>
        <w:t>60. They simultaneously launched on February 3, 2004, as part of an open call for tenders, purchase order contracts related to lot No. 2, "metalwork aluminum joinery, removable partitions, frameworks, metal roofing." To analyze the offers, candidates were asked to produce a simulation of a quote according to a standard work estimate. Lot 2 of each hospital was of interest only to the companies Girod and SMAB, which differentiated their price offers so that Girod appeared as the most advantageous (standard quote and price list over 3 years). The respective tender commissions of the two hospitals selected Girod for each of the contracts.</w:t>
      </w:r>
    </w:p>
    <w:p>
      <w:r>
        <w:t>61. The Esquirol Hospital launched on July 23, 2004, as part of an open call for tenders, a contract for works to restructure the premises of the former garage of the Esquirol Hospital to install the future pharmacy. The contract is divided into 10 lots, including lot No. 3, "external joinery metalwork." Thirty-five companies submitted offers, with only two for lot 3, those of Girod and SMAB. This lot was declared unsuccessful, and the consultation was relaunched, with Girod and SMAB applying again. The lot was ultimately awarded to another company.</w:t>
      </w:r>
    </w:p>
    <w:p>
      <w:r>
        <w:t>The contracts of the National Ophthalmology Hospital Center of Quinze-Vingt (75)</w:t>
      </w:r>
    </w:p>
    <w:p>
      <w:r>
        <w:t>62. On February 5, 2003, the Quinze-Vingt Hospital Center launched, as part of an open call for tenders, purchase order contracts related to the maintenance, adaptation, and modernization works of the hospital center's buildings.</w:t>
      </w:r>
    </w:p>
    <w:p>
      <w:r>
        <w:t>63. The contracts are divided by trade into 5 lots, including the metalwork lot (No. 8).</w:t>
      </w:r>
    </w:p>
    <w:p>
      <w:r>
        <w:t>64. Bidders must propose a discount on the Bâtiprix 2003 price list as well as evaluations for works not included in the price list.</w:t>
      </w:r>
    </w:p>
    <w:p>
      <w:r>
        <w:t>65. Girod and SMAB submitted bids for lot 8, differentiating their price offer (discount) so that Girod had the best positioning. Three other bids were analyzed.</w:t>
      </w:r>
    </w:p>
    <w:p>
      <w:r>
        <w:t>66. Although the consultation regulations provide three award criteria (equivalent references of less than 3 years, the technical value of the services, the price of the services), it was the price criterion that was decisive in the award of the contract, the technical value of the offers being deemed equivalent. The tender commission awarded lot 8 to Girod, which presented the most advantageous offer. It is specified that Girod was the holder of the previous contract and had then presented more advantageous offers.</w:t>
      </w:r>
    </w:p>
    <w:p>
      <w:r>
        <w:t>The contracts of the OPDHLM of Hauts-de-Seine</w:t>
      </w:r>
    </w:p>
    <w:p>
      <w:r>
        <w:t>67. The departmental public office of HLM of Hauts-de-Seine launched on February 9, 2004, as part of an open call for tenders, fragmented purchase order contracts concerning works related to maintenance, routine repairs, and replacement of metalwork, PVC joinery, and shading installations of the office's property. The contracts for the trade "metalwork, PVC joinery, shading" are divided into three geographical sectors corresponding to the different delegations of the office (lots 1 to 3).</w:t>
      </w:r>
    </w:p>
    <w:p>
      <w:r>
        <w:t>68. For the analysis of the offers, the amount of a standard estimated quote for the interventions is notably taken into account.</w:t>
      </w:r>
    </w:p>
    <w:p>
      <w:r>
        <w:t>69. Regarding lot 1, 7 offers were submitted, including those from Girod and SMAB, but 3 of the other offers were declared non-compliant due to the absence of a technical memorandum. Girod applied for lots 2 and 3, while SMAB abstained. For lots 2 and 3, other offers were submitted (four and three respectively), of which two per contract were declared non-compliant. The estimated quotes from Girod and SMAB presented for lot 1 were differentiated, with a more advantageous positioning for SMAB. The SMAB offer was selected for lot 1, while the Girod offers were for lots 2 and 3.</w:t>
      </w:r>
    </w:p>
    <w:p>
      <w:r>
        <w:t>B. THE IDENTIFIED PRACTICES</w:t>
      </w:r>
    </w:p>
    <w:p>
      <w:r>
        <w:t>70. The process of responding to calls for tenders adopted by the companies involved, which ensures the transparency of offers at the design stage, gave public operators the appearance of a duality of companies and offers (point 1).</w:t>
      </w:r>
    </w:p>
    <w:p>
      <w:r>
        <w:t>71. As part of a strategy defined by the leader of the two companies, this process favored the acquisition and selection of contracts, through an "optimization" of the potential of the consultation regulations (point 2) as well as through a systematic practice of cover bids (point 3).</w:t>
      </w:r>
    </w:p>
    <w:p>
      <w:r>
        <w:t>1. THE APPARENT DUALITY OF THE GIROD AND SMAB COMPANIES AND THEIR OFFERS</w:t>
      </w:r>
    </w:p>
    <w:p>
      <w:r>
        <w:t>72. The analysis of the disputed contracts allowed for the identification of recurring practices aimed at artificially simulating a competitive situation: they mainly consisted for Girod and SMAB in bidding for the same contracts without informing the contracting authority of the links that unite them (a) and formally differentiating their submission acts (b).</w:t>
      </w:r>
    </w:p>
    <w:p>
      <w:r>
        <w:t>a) Bidding for the same contracts without informing public operators</w:t>
      </w:r>
    </w:p>
    <w:p>
      <w:r>
        <w:t>Regulation of information for public buyers</w:t>
      </w:r>
    </w:p>
    <w:p>
      <w:r>
        <w:t>73. The acts of submission for public contracts allow the contracting entity to be informed of the links that unite the candidate company to other bidders as well as the independent or non-independent nature of its offer. Thus, framework H of section 2 of the candidate declaration (DC6/98) allows the company to indicate its links with other companies, including its shareholders and the companies in which it holds a stake. Similarly, framework B of the letter of application (DC4/99) allows the candidate to specify whether it is applying alone for the entire contract or for specific lots.</w:t>
      </w:r>
    </w:p>
    <w:p>
      <w:r>
        <w:t>74. The reminder of regulation dated April 18, 2000 (paragraph 3) aimed to inform companies of this obligation to disclose the links between the companies Girod and SMAB.</w:t>
      </w:r>
    </w:p>
    <w:p>
      <w:r>
        <w:t>The lack of information for operators in the case of simultaneous bidding</w:t>
      </w:r>
    </w:p>
    <w:p>
      <w:r>
        <w:t>75. It appears from the analyzed contracts that Girod and SMAB persisted in bidding for the same contracts without informing the contracting entities of their capital links and their joint submissions. This practice is constant and deliberate, as it occurs despite the reminder from the DGCCRF and is also based on a formality that supports the appearance of autonomy of the offers.</w:t>
      </w:r>
    </w:p>
    <w:p>
      <w:r>
        <w:t>76. This lack of information regarding the links between Girod and SMAB in the contract documents is also noted by some representatives of the contracting entities: the chief engineer, in charge of the technical services of the Saint-Maurice and Esquirol hospitals, "specifies that the manager of the Girod and SMAB establishments, Mr. C., never informed the hospitals of the links that united these two companies" (letter dated February 17, 2005, addressed to the DDCCRF 94).</w:t>
      </w:r>
    </w:p>
    <w:p>
      <w:r>
        <w:t>77. None of the application declarations from Girod and SMAB related to the analyzed contracts and included in the file mention the links uniting the two companies. Similarly, when they submit offers for the same contract, both candidates always declare that they are applying alone.</w:t>
      </w:r>
    </w:p>
    <w:p>
      <w:r>
        <w:t>78. Ultimately, due to its systematic nature, in the case of simultaneous applications from Girod and SMAB, the lack of information for public buyers deliberately aims to mislead them regarding the intensity of competition between the entities of the group. It cannot be an involuntary omission, as the reminder of regulation is contemporary with the practices and the presentation of an autonomous application is subject to mention in the letter of application.</w:t>
      </w:r>
    </w:p>
    <w:p>
      <w:r>
        <w:t>b) Formal differentiation of submission acts</w:t>
      </w:r>
    </w:p>
    <w:p>
      <w:r>
        <w:t>79. In order to present offers that appear autonomous, the submission acts prepared by Girod and SMAB are differentiated so that the signatories of the offers as well as the registered offices appear as distinct. Furthermore, the anomalies sometimes observed in the offers from the two companies attest to the difficulties inherent in implementing this process.</w:t>
      </w:r>
    </w:p>
    <w:p>
      <w:r>
        <w:rPr>
          <w:b/>
        </w:rPr>
        <w:t>[Pages 13–15]</w:t>
      </w:r>
    </w:p>
    <w:p>
      <w:r>
        <w:t>The mention of a distinct domicile</w:t>
      </w:r>
    </w:p>
    <w:p>
      <w:r>
        <w:t>80. Both companies report having distinct headquarters located in Ivry-sur-Seine. In reality, the premises, which belong to the company Girod, are common premises with dual access from parallel streets, each corresponding to the headquarters of one of the two companies. These different addresses of the headquarters located in common premises are used in the calls for tenders to reinforce the appearance of autonomy of the two companies Girod and SMAB. Its artificial nature is highlighted by the contradictory desire to unify the headquarters, expressed during the signing of the lease between Girod and SMAB: "in order to allow SMAB to transfer its headquarters and its activity to the same address (which is the address of Girod's headquarters), the company Girod Père et Fils agreed to lease part of the premises of which it is the owner."</w:t>
      </w:r>
    </w:p>
    <w:p>
      <w:r>
        <w:t>The signing of contract documents</w:t>
      </w:r>
    </w:p>
    <w:p>
      <w:r>
        <w:t>81. In the case of simultaneous submissions for the same contract, the signatories of the bids are generally distinct, with Mr. X... appearing as a signatory and representative of the company only in the Girod documents. Mr. Y..., who is a salaried director of this company and has no role in SMAB, is then the sole signatory of the submission documents for this company. Presented as exceptional by Mr. X..., this representation of SMAB by Mr. Y... is, however, the rule concerning contracts awarded to Girod or SMAB, for which a simultaneous submission has been made. The objective of this substitution, designed to give the appearance of autonomous offers, is indeed acknowledged by Mr. X... himself regarding the Rueil-Malmaison contract: "regarding the DC5 and the commitment document for Rueil-Malmaison (contract 2003), I signed for Girod Père et Fils and Mr. Y... for SMAB. I did not wish to appear as responsible for both companies (cf. the fire of 1989)."</w:t>
      </w:r>
    </w:p>
    <w:p>
      <w:r>
        <w:t>The difficulties inherent in formalizing seemingly competing offers</w:t>
      </w:r>
    </w:p>
    <w:p>
      <w:r>
        <w:t>82. Through the repetition of processes from one public contract to another, a number of anomalies can be highlighted in the formal simulation of competition between the two companies. They particularly affect the conditions of representation of the two companies in the context of signing the submission documents for the contracts. The following situations have been observed:</w:t>
        <w:br/>
        <w:t>• The signature of Mr. Y..., director of Girod, who has no function in SMAB, is affixed on the stamp titled: "SMAB, the Chief Executive Officer";</w:t>
        <w:br/>
        <w:t>• Administrative certificates, established in the name of Girod and signed by Mr. X... as CEO of this company, are certified by a mention of conformity of the copy to the original, prepared for SMAB ("I, the undersigned, Mr. X..., acting on behalf of the company SMAB, certify on my honor that this photocopy is in conformity with the original");</w:t>
        <w:br/>
        <w:t>• The price lists and standard invoices of Girod and SMAB present in some cases formal similarities that are characteristic of them (numerical data of the price lists mentioned in cents for the same nomenclatures, same typographical anomalies on the standard quotes). In addition to these similarities, the handwritten annotation in the margin of a SMAB price list of five data from Girod's BPU also illustrates the unified mode of responding to calls for tenders (City of Paris contract 2001);</w:t>
      </w:r>
    </w:p>
    <w:p>
      <w:r>
        <w:t>• The management resources of SMAB sometimes refer, particularly regarding the technical clause memoranda, to the resources of Girod, thus artificially enhancing the SMAB offer. This presentation seems intended to meet the technical criteria of certain contracts, as shown by the unfavorable ranking of SMAB's application for the Paris department contract for 2005, due to the absence of a "specific management structure dedicated to monitoring the contract's services."</w:t>
      </w:r>
    </w:p>
    <w:p>
      <w:r>
        <w:t>83. These anomalies demonstrate, through a formal confusion of the submission documents, the difficulty that may arise in simulating competition within the centralized process of responding to calls for tenders.</w:t>
      </w:r>
    </w:p>
    <w:p>
      <w:r>
        <w:t>2. A SUBMISSION PROCESS THAT OPTIMIZES THE POTENTIAL OF CONSULTATION REGULATIONS</w:t>
      </w:r>
    </w:p>
    <w:p>
      <w:r>
        <w:t>84. The companies Girod and SMAB have resorted to practices of optimizing the consultation regulations, consisting of circumventing the recurring rule of awarding a single contract per company and per trade and taking advantage of its relaxation in the case of successive calls for tenders related to the same contract.</w:t>
      </w:r>
    </w:p>
    <w:p>
      <w:r>
        <w:t>a) Circumvention and enhancement of the rule of awarding a single contract per company of the same trade</w:t>
      </w:r>
    </w:p>
    <w:p>
      <w:r>
        <w:t>The rules for awarding contracts</w:t>
      </w:r>
    </w:p>
    <w:p>
      <w:r>
        <w:t>85. The consultation regulations of most of the analyzed contracts provide that the same company may only be awarded one lot per trade, even if candidates are allowed to submit bids for multiple lots or to define a priority order of lots in the case of multiple offers. This rule limits the possibilities of obtaining additional lots in the case of successive calls for tenders, as subsequent awards take into account the lots already awarded. This award rule may be subject to a sectoral variant, where the possibility of bidding for multiple lots may be limited to a type of building (sectors of school buildings and other buildings for the contract of the city of Argenteuil).</w:t>
      </w:r>
    </w:p>
    <w:p>
      <w:r>
        <w:t>86. The rule of awarding a single lot per trade only allows exceptions in cases of relaxation of the consultation regulations to reduce the number of consultations or to favor the awarding of lots not yet allocated. These situations occur in the case of successive calls for tenders or during the renewal phase of a contract.</w:t>
      </w:r>
    </w:p>
    <w:p>
      <w:r>
        <w:t>Circumvention and enhancement of the rules by Girod and SMAB</w:t>
      </w:r>
    </w:p>
    <w:p>
      <w:r>
        <w:t>87. By presenting dissociated and seemingly independent offers, the companies Girod and SMAB have deliberately placed themselves in a position to circumvent these award rules, maximizing the possibilities of award or securing a number of lots greater than that allowed by the regulations.</w:t>
      </w:r>
    </w:p>
    <w:p>
      <w:r>
        <w:t>88. In the case of the contracts of the city and department of Paris, the strategy of dissociating the offers, common to Girod and SMAB, not only artificially increased the possibility of obtaining lots but also made it possible to effectively circumvent the award rule by awarding, at the stage of the second call for tenders, a lot that would not have been allocated to these companies in the context of a grouped offer (lot F 2.2 awarded to Girod for the city of Paris contract; lot N 1.2 awarded to SMAB in the context of the departmental contract) (paragraphs 14 and following). It was only at the stage of the fourth call for tenders for the city of Paris contract that the observed practice was neutralized by the combined effect of the possibility of awarding multiple lots and the absence of SMAB's application.</w:t>
      </w:r>
    </w:p>
    <w:p>
      <w:r>
        <w:t>89. Regarding the contract of the general council of Seine-Saint-Denis (paragraph 38), the strategy of dissociating the offers allowed Girod and SMAB to be awarded an additional lot by circumventing the single lot rule. In the case of a grouped offer, lot 1 or lot 2 would not have been awarded to Girod or SMAB, as it constituted a second lot and not the first as suggested by the presentation of the offers.</w:t>
      </w:r>
    </w:p>
    <w:p>
      <w:r>
        <w:t>90. Concerning the contracts of the general council of Val de Marne (paragraph 42), the two companies divided their offers among the four lots of the contract (two lots per company). This strategy allowed Girod and SMAB to claim two lots, in violation of the award rule. The presentation of a grouped offer would have limited the possibilities of award to one lot.</w:t>
      </w:r>
    </w:p>
    <w:p>
      <w:r>
        <w:t>91. This process of duplicating the offers of the Girod-SMAB group without the knowledge of the awarding entities, besides misleading the contracting authorities about the actual intensity of competition and allowing the companies to loosen the constraints of the consultation regulations, also goes against the pro-competitive objectives assigned by the legislator to the division of contracts.</w:t>
      </w:r>
    </w:p>
    <w:p>
      <w:r>
        <w:t>b) Optimization within the framework of the relaxation of award rules</w:t>
      </w:r>
    </w:p>
    <w:p>
      <w:r>
        <w:t>The relaxation of award rules</w:t>
      </w:r>
    </w:p>
    <w:p>
      <w:r>
        <w:t>92. The relaxation of award rules occurred at the initiative of the awarding entities, in order to facilitate the awarding of lots not yet allocated in the context of successive calls for tenders or to favor a renewal at the expiration of the previous contract or sometimes as a primary mode of awarding.</w:t>
      </w:r>
    </w:p>
    <w:p>
      <w:r>
        <w:t>93. The relaxation concerns the number of lots that can be awarded to the same company, which is no longer constrained by the limit of awarding one lot per candidate and per trade. The possibilities of award then concern a plurality of lots, or even all the lots remaining to be awarded.</w:t>
      </w:r>
    </w:p>
    <w:p>
      <w:r>
        <w:t>94. However, the consultation regulations restrict the possibilities of additional awards by subjecting companies to conditions of means or by limiting the awarding of additional lots belonging to the same sector or sometimes by providing for a mode of distribution of contracts. In the latter case, the rule of the single lot becomes applicable by sector, thus loosening the intersectoral constraint.</w:t>
      </w:r>
    </w:p>
    <w:p>
      <w:r>
        <w:t>Optimization by Girod and SMAB of the relaxation of award rules</w:t>
      </w:r>
    </w:p>
    <w:p>
      <w:r>
        <w:t>95. The companies Girod and SMAB have optimized the relaxed award rules and have attempted to loosen the new constraints introduced by public buyers by presenting seemingly separate offers.</w:t>
      </w:r>
    </w:p>
    <w:p>
      <w:r>
        <w:t>96. In the context of the contract launched by the city of Paris in 2001, at the stage of the fourth call for tenders, Girod was awarded a second lot, benefiting from the relaxation of the consultation regulations and not being subject to the sectoral constraint due to the previous award. The lots that were awarded to Girod and SMAB during the three previous rounds were in distinct sectors (F1 and F2) from those for which lots remained to be allocated in the 4th round (F3 and F4). The fourth call for tenders for the contract launched in 2001 by the department of Paris presents a significantly less favorable configuration for the two bidders.</w:t>
      </w:r>
    </w:p>
    <w:p>
      <w:r>
        <w:rPr>
          <w:b/>
        </w:rPr>
        <w:t>[Pages 16–18]</w:t>
      </w:r>
    </w:p>
    <w:p>
      <w:r>
        <w:t>attributable to the application of the sectoral constraint to Girod's candidacy in sector 2: Girod, already awarded lot N 2.1, could not claim a second lot in the sector (lot N 2.2), while its chances remained intact regarding sectors 3 and 4. SMAB's chances of obtaining one of the 3 lots (N 2.2, N 3.2, N 4.2) were not affected by the prior award of lot N 1.2, allowing it the possibility of obtaining a second lot in sector 2, notwithstanding the allocation of lot N 2.1 to Girod. Potentially, therefore, the grouping could, through the construction of offers by lot, claim two lots in sector 2 in violation of the regulations. The outcome of the market was different, as SMAB was excluded for non-compliance.</w:t>
      </w:r>
    </w:p>
    <w:p>
      <w:r>
        <w:t>97. In the case of the contracts launched in 2004 by the city and the department of Paris, the possibility of obtaining multiple lots was counterbalanced by a form of market distribution by the public buyer, consisting of awarding a first lot to the candidates whose offer was ranked, and then awarding a second lot if the number of ranked candidates was less than the number of lots to be awarded, and so on. This last provision, contrary to the provisions of paragraph 3 of Article 10 of the Public Procurement Code, which provides for the examination of offers by lot, was also deemed "contrary to competition law, as it was likely to lead to a de facto distribution of contracts among companies" (email from J. Z... of the DDCCRF of Paris to C. A... of the Prefecture of Paris). In this context of market distribution due to the regulations, the submission of separate offers by Girod and SMAB allowed for a favorable positioning of Girod's offer, adapting the strategy to a regulation that was not favorable to the award of an additional lot, due to a number of applications exceeding the number of lots.</w:t>
      </w:r>
    </w:p>
    <w:p>
      <w:r>
        <w:t>98. The contract of the city of Argenteuil opens the possibility of obtaining multiple lots, either in the sector of school buildings or in that of other buildings, but in no case in both. The strategy consisted of organizing the submission of Girod and SMAB each in a particular sector to optimize the chances of obtaining one or more lots per sector. A grouped submission would obviously not have allowed for such optimization. Mr. X... thus distorted the competition by pre-allocating the potential lots between his companies without the public buyer's knowledge. This practice was all the more damaging as the number of candidates was very limited and only the Girod-SMAB group was able to cover all the lots of the contract.</w:t>
      </w:r>
    </w:p>
    <w:p>
      <w:r>
        <w:t>99. Ultimately, regardless of the regulatory framework of the analyzed contracts, the strategy of dissociating the offers of Girod and SMAB maximized the possibilities of obtaining the lots compared to the submission of grouped offers. Operating without the knowledge of the public buyers and prior to the submission of the offers, it distorted the selection process of the offers to the detriment of other candidates and misled the project owners regarding the competitive intensity.</w:t>
      </w:r>
    </w:p>
    <w:p>
      <w:r>
        <w:t>3. A PROCESS LEADING TO THE GENERALIZATION OF COVER BIDS</w:t>
      </w:r>
    </w:p>
    <w:p>
      <w:r>
        <w:t>100. The centralized process of submitting tenders by Girod and SMAB allowed for the presentation of artificially differentiated offers to the project owners in the case of concurrent responses.</w:t>
      </w:r>
    </w:p>
    <w:p>
      <w:r>
        <w:t>101. The companies systematically resorted either to a formal differentiation of offers, notably by submitting non-compliant bids, or to the differentiation of the prices of the offers. These differentiations are artificial in that their concurrent development, based on a common process and resources, can only lead to fictitious distortions, intended to mislead public buyers regarding the actual degree of competition between Girod and SMAB. They indeed lead to misleading the project owner and distorting the selection of offers, on the one hand by accrediting the presence of competing offers and on the other hand by favoring a variable positioning of the offers, depending on the opportunity for each of the companies Girod and SMAB to secure a particular contract, based on their respective workload.</w:t>
      </w:r>
    </w:p>
    <w:p>
      <w:r>
        <w:t>102. This differentiation of Girod and SMAB's offers characterizes the submission of cover bids as it results from a generalized consultation process, prior to the submission of offers, leading to the pre-selection of the most advantageous company. The formal differentiation of offers by submitting a non-compliant bid, akin to the voluntary abstention of the company, when concerted within the same process, is illegal in the same way as a cover bid.</w:t>
      </w:r>
    </w:p>
    <w:p>
      <w:r>
        <w:t>a) Cover bids through formal differentiation of offers</w:t>
      </w:r>
    </w:p>
    <w:p>
      <w:r>
        <w:t>103. Girod and SMAB resorted, for certain contracts, to a formal differentiation of their offers, with one of the two companies submitting a non-compliant or insufficiently referenced bid and thus excluded from the analysis of the offers: differentiation due to the lack of an inner envelope in SMAB's application (1st call for tenders city of Paris 2001), by presenting a non-compliant standby system by Girod (General Council of Val de Marne) or due to the age or insufficiency of references (Girod: OPHLM 92, SMAB: General Council 92). This process characterizes a voluntary abstention, fully concerted with the company designated to remain in the running, which presents a compliant offer. This lack of compliance or referencing, specific to one or the other of the two companies, cannot be fortuitous, given that the process of constructing the offers is centralized, supervised by the manager of both companies, and involves companies well-versed in public procurement procedures that generate more than 80% of their annual turnover with public buyers. This lack of fortuity is also due to the repetition of this formal differentiation, with SMAB or Girod each being able to be affected in turn by the non-compliance or non-referencing of their offers. This process clearly reflects a deliberate intention to position the offers and simulate competing offers.</w:t>
      </w:r>
    </w:p>
    <w:p>
      <w:r>
        <w:t>b) Cover bids through differentiation of the prices of offers</w:t>
      </w:r>
    </w:p>
    <w:p>
      <w:r>
        <w:t>104. The differentiation of the prices of offers concerns contracts whose offers are submitted in the form of a discount applied to a standard price list (contracts of the cities of Versailles, Athis-Mons, Rueil-Malmaison, of the national hospital of Quinze-Vingt) and contracts that are subject to a quote or standard invoice, possibly supplemented by a price list.</w:t>
      </w:r>
    </w:p>
    <w:p>
      <w:r>
        <w:t>Differentiation by discounts on the price list</w:t>
      </w:r>
    </w:p>
    <w:p>
      <w:r>
        <w:t>105. The differentiation of Girod and SMAB's offers by discounts on the standard price list consists of positioning the respective offers by proposing for each of them a more or less attractive discount, the difference between these discounts having no rational justification, given that these are companies mobilizing common resources, providing comparable services, and falling under a unique commercial strategy. The system of differentiated discounts consists of attaching a particularly attractive discount to the most favorably positioned offer, and a less interesting discount to the secondary offer, which nonetheless proves to be higher than that proposed by other candidates.</w:t>
      </w:r>
    </w:p>
    <w:p>
      <w:r>
        <w:t>Differentiation by standard invoices or quotes</w:t>
      </w:r>
    </w:p>
    <w:p>
      <w:r>
        <w:t>106. The differentiation by standard invoices or quotes presents the same characteristics and objectives as that by discounts on the price list. It concerned the contracts of the city and department of Paris (2001 and 2004), the General Council of 93, OPHLM 92, and the Esquirol and Saint-Maurice hospitals. It generally favors the company Girod, but SMAB was also favored in the case of the OPHLM 92 contract.</w:t>
      </w:r>
    </w:p>
    <w:p>
      <w:r>
        <w:t>107. Ultimately, the differentiation of the prices of offers, in its two forms, allows both Girod and SMAB to simulate competition and position their offers. Of the 17 contracts concerned by the differentiation of offers, 14 are characterized by a more favorable positioning of Girod and 3 by an inverse situation. It can be concluded that the rule for constructing offers generally favors Girod's offers and that when it is SMAB's offer that needs to be positioned more favorably, it is the formal differentiation that is implemented, as it unequivocally discriminates against Girod's offer. The comparative advantage thus given to Girod is entirely consistent with the strategy aimed at favoring the company with the most significant and developed resources, particularly in terms of management and public procurement engineering.</w:t>
      </w:r>
    </w:p>
    <w:p>
      <w:r>
        <w:t>C. THE NOTIFIED GRIEVANCE</w:t>
      </w:r>
    </w:p>
    <w:p>
      <w:r>
        <w:t>108. Based on the preceding findings, a grievance was notified on July 21, 2008, to the companies Girod and SMAB, based on Article L. 420-1 of the Commercial Code, "for having submitted offers whose independence was only apparent, as they resulted from a centralized development process within one of the two companies, ensuring a generalized exchange of information; for having simulated competition between them by concealing their links at the stage of their candidacy, by using representation and domiciliation processes of the companies and by artificially differentiating their offers from one another; for having distorted competition among candidates and misled public buyers, by circumventing and loosening the constraints of the consultation regulations through the process of artificially independent offers, for having systematically, in various forms, submitted reciprocal cover bids."</w:t>
      </w:r>
    </w:p>
    <w:p>
      <w:r>
        <w:t>D. THE IMPLEMENTATION OF III OF ARTICLE L. 464-2 OF THE COMMERCIAL CODE</w:t>
      </w:r>
    </w:p>
    <w:p>
      <w:r>
        <w:t>109. The companies Girod and SMAB decided not to contest the grievance and requested the benefit of the provisions of III of Article L. 464-2 of the Commercial Code, which states: "when an organization or a company does not contest the reality of the grievances notified to it and commits to modifying its behaviors for the future, the general rapporteur may propose to the Competition Council, which hears the parties and the Government Commissioner without prior establishment of a report, to impose the monetary sanction provided for in I, taking into account the absence of contestation. In this case, the maximum amount of the sanction incurred is reduced by half."</w:t>
      </w:r>
    </w:p>
    <w:p>
      <w:r>
        <w:t>110. The implementation of these provisions resulted in two minutes (one for each company) drawn up on September 29, 2008.</w:t>
      </w:r>
    </w:p>
    <w:p>
      <w:r>
        <w:t>111. Due to the use of the simplified procedure and the choice of the parties involved not to contest the grievance, no report was established.</w:t>
      </w:r>
    </w:p>
    <w:p>
      <w:r>
        <w:t>112. For the implementation of III of Article L. 464-2 of the Commercial Code, the two companies subscribed, in similar terms, by minutes of September 29, 2008, to the following commitments:</w:t>
      </w:r>
    </w:p>
    <w:p>
      <w:r>
        <w:rPr>
          <w:b/>
        </w:rPr>
        <w:t>[Pages 19–21]</w:t>
      </w:r>
    </w:p>
    <w:p>
      <w:r>
        <w:t>Commitments of the company Girod Père et Fils</w:t>
      </w:r>
    </w:p>
    <w:p>
      <w:r>
        <w:t>1. The company Girod Père et Fils commits to continue in the future the policy implemented since its change of control, consisting of submitting only one bid on behalf of either of the two companies Girod Père et Fils or SMAB for the calls for tenders to which they are likely to respond. If, in the context of a submission, one of the companies acts as a subcontractor for the other, each of the companies Girod Père et Fils and SMAB commits to clearly inform the contracting authority of the existence of the links between them.</w:t>
      </w:r>
    </w:p>
    <w:p>
      <w:r>
        <w:t>2. The company Girod Père et Fils commits to strengthen hierarchical control over the methods of preparing and submitting its responses to calls for tenders in order to ensure compliance with this policy. To this end, the President of the company Girod Père et Fils will send a letter of instruction to all personnel involved in the preparation of responses to calls for tenders, particularly to the employed quantity surveyors of each of the companies, reminding them of the commitment not to submit bids for the same call for tenders. For the same purpose, the submissions of the company Girod Père et Fils must be signed by its President, who will ensure compliance with this rule.</w:t>
      </w:r>
    </w:p>
    <w:p>
      <w:r>
        <w:t>3. Beyond this directive related to the grievance that has been notified to it, the company Girod Père et Fils commits to provide all its personnel responsible for preparing responses to calls for tenders, as well as any new employee joining its teams, with a note reminding them of the competition law rules generally applicable to the preparation of responses to calls for tenders concerning public contracts and the decision-making practice of the Competition Council in this matter.</w:t>
      </w:r>
    </w:p>
    <w:p>
      <w:r>
        <w:t>4. Finally, the company Girod Père et Fils commits to maintain an up-to-date register of the calls for tenders concerning public contracts to which it has submitted bids. The register will notably allow for the identification of the calls for tenders in which either of the companies Girod Père et Fils or SMAB has acted as a subcontractor for the other. The company Girod Père et Fils will retain all application files submitted in this context for a period of 3 years. After this 3-year period, only the files for which its application has been accepted will be retained. A copy of the register will be sent biannually to the competition authorities for a period of 3 years. The register and the copy of the submissions will be made available to the competent services of the DGCCRF.</w:t>
      </w:r>
    </w:p>
    <w:p>
      <w:r>
        <w:t>113. To take into account the non-contestation of the grievances and the commitments made by the company Girod Père et Fils, the Deputy General Rapporteur proposed that any sanction incurred be reduced by a proportion ranging from 10 to 20% of the amount that would normally have been imposed.</w:t>
      </w:r>
    </w:p>
    <w:p>
      <w:r>
        <w:t>Commitments of the company SMAB</w:t>
      </w:r>
    </w:p>
    <w:p>
      <w:r>
        <w:t>1. The company SMAB commits to continue in the future the policy implemented since its change of control, consisting of submitting only one bid on behalf of either of the two companies Girod Père et Fils or SMAB for the calls for tenders to which they are likely to respond. If, in the context of a submission, one of the companies acts as a subcontractor for the other, each of the companies Girod Père et Fils and SMAB commits to clearly inform the contracting authority of the existence of the links between them.</w:t>
      </w:r>
    </w:p>
    <w:p>
      <w:r>
        <w:t>2. The company SMAB commits to strengthen hierarchical control over the methods of preparing and submitting its responses to calls for tenders in order to ensure compliance with this policy. To this end, the President of the company SMAB will send a letter of instruction to all personnel involved in the preparation of responses to calls for tenders, particularly to the employed quantity surveyors of each of the companies, reminding them of the commitment not to submit bids for the same call for tenders. For the same purpose, the submissions of the company SMAB must be signed by its President, who will ensure compliance with this rule.</w:t>
      </w:r>
    </w:p>
    <w:p>
      <w:r>
        <w:t>3. Beyond this directive related to the grievance that has been notified to it, the company SMAB commits to provide all its personnel responsible for preparing responses to calls for tenders, as well as any new employee joining its teams, with a note reminding them of the competition law rules generally applicable to the preparation of responses to calls for tenders concerning public contracts and the decision-making practice of the Competition Council in this matter.</w:t>
      </w:r>
    </w:p>
    <w:p>
      <w:r>
        <w:t>4. Finally, the company SMAB commits to maintain an up-to-date register of the calls for tenders concerning public contracts to which it has submitted bids. The register will notably allow for the identification of the calls for tenders in which either of the companies Girod Père et Fils or SMAB has acted as a subcontractor for the other. The company SMAB will retain all application files submitted in this context for a period of 3 years. After this 3-year period, only the files for which its application has been accepted will be retained. A copy of the register will be sent biannually to the competition authorities for a period of 3 years. The register and the copy of the submissions will be made available to the competent services of the DGCCRF.</w:t>
      </w:r>
    </w:p>
    <w:p>
      <w:r>
        <w:t>114. To take into account the non-contestation of the grievances and the commitments made by the company SMAB, the Deputy General Rapporteur proposed that any sanction incurred be reduced by a proportion ranging from 10 to 20% of the amount that would normally have been imposed.</w:t>
      </w:r>
    </w:p>
    <w:p>
      <w:r>
        <w:t>II. Discussion</w:t>
      </w:r>
    </w:p>
    <w:p>
      <w:r>
        <w:t>A. ON THE PRACTICES</w:t>
      </w:r>
    </w:p>
    <w:p>
      <w:r>
        <w:t>115. According to consistent case law, the provisions prohibiting illegal agreements do not apply to intra-group agreements, provided that the subsidiaries do not have commercial autonomy.</w:t>
      </w:r>
    </w:p>
    <w:p>
      <w:r>
        <w:t>116. The Competition Council has drawn the conclusion that if companies with legal or financial ties but possessing commercial autonomy submit multiple bids, the plurality of these bids demonstrates the commercial autonomy of the companies presenting them and the independence of these bids.</w:t>
      </w:r>
    </w:p>
    <w:p>
      <w:r>
        <w:t>117. However, if these multiple bids were established in consultation or after the companies communicated with each other, these bids are no longer independent.</w:t>
      </w:r>
    </w:p>
    <w:p>
      <w:r>
        <w:t>118. Therefore, presenting them as such misleads the market operator regarding the nature, scope, extent, or intensity of competition, and this practice consequently has an object or, potentially, an anti-competitive effect.</w:t>
      </w:r>
    </w:p>
    <w:p>
      <w:r>
        <w:t>119. By a judgment of November 9, 2004 (SEE Camille Bayol), the Paris Court of Appeal sanctioned four companies for having conspired and presented falsely competitive bids, emphasizing that "it is permissible for companies with legal and financial ties but possessing commercial autonomy to present distinct and competitive bids, provided they do not consult before submitting the bids and, in the case of consultation, to submit only one." Furthermore, in a judgment of May 24, 2005, the Paris Court of Appeal (SARL Imagin and others) ruled that "the four companies of the Imagin group cannot validly invoke the supposedly transparent nature of their approach and their good faith when, by submitting separate bids, they demonstrated their commercial autonomy and chose to present themselves, in the context of the call for tenders, as competing companies; they must, therefore, respect the competition rules to which they have submitted and refrain from presenting bids whose independence was only apparent; the knowledge of the ties uniting these companies, which the prefectural services may have, is ineffective in light of the preceding developments."</w:t>
      </w:r>
    </w:p>
    <w:p>
      <w:r>
        <w:t>120. In this case, it is established that the companies Girod and SMAB, which have legal and financial ties (§4), by submitting concurrent but distinct bids in the context of the analyzed contracts, demonstrated their commercial autonomy and the independence of their bids.</w:t>
      </w:r>
    </w:p>
    <w:p>
      <w:r>
        <w:t>121. These bids having been prepared in a centralized consultation (paragraphs 72 and following), they were no longer independent.</w:t>
      </w:r>
    </w:p>
    <w:p>
      <w:r>
        <w:t>122. The presentation by Girod and SMAB of fictitiously independent bids through various processes simulating the autonomy of the bids and the companies misled public buyers in the context of the various contracts. They were deceived regarding the actual intensity of competition, as evidenced by the reduction in the competitive intensity rate, the use of processes aimed at circumventing or loosening the constraints of the consultation regulations, and the submission of reciprocal cover bids.</w:t>
      </w:r>
    </w:p>
    <w:p>
      <w:r>
        <w:t>123. These practices had an object and an anti-competitive effect.</w:t>
      </w:r>
    </w:p>
    <w:p>
      <w:r>
        <w:rPr>
          <w:b/>
        </w:rPr>
        <w:t>[Pages 22–24]</w:t>
      </w:r>
    </w:p>
    <w:p>
      <w:r>
        <w:t>124. These facts, the materiality, qualification, or attribution of which are not contested by the companies involved, constitute a prohibited agreement under Article L. 420-1 of the Commercial Code.</w:t>
      </w:r>
    </w:p>
    <w:p>
      <w:r>
        <w:t>B. ON SANCTIONS</w:t>
      </w:r>
    </w:p>
    <w:p>
      <w:r>
        <w:t>125. Pursuant to paragraph I of Article L. 464-2 of the Commercial Code, the Competition Council "may impose a monetary sanction applicable either immediately, or in the event of non-compliance with injunctions, or in the event of non-respect of commitments it has accepted. Monetary sanctions are proportionate to the seriousness of the alleged facts, the importance of the damage caused to the economy, the situation of the sanctioned organization or company or the group to which the company belongs, and any possible recurrence of practices prohibited by this title."</w:t>
      </w:r>
    </w:p>
    <w:p>
      <w:r>
        <w:t>1. REGARDING THE SERIOUSNESS OF THE PRACTICES</w:t>
      </w:r>
    </w:p>
    <w:p>
      <w:r>
        <w:t>126. As the Council recalls in its decision-making practice, agreements made during calls for tenders are of particularly serious nature as they limit the intensity of the competitive pressure to which companies would have been subjected if they had acted independently. It emphasizes that only adherence to competition rules in this area guarantees public buyers the sincerity of the call for tenders and the proper use of public funds. Practices involving information exchanges and the submission of cover bids for the purpose of market allocation are among the most serious practices.</w:t>
      </w:r>
    </w:p>
    <w:p>
      <w:r>
        <w:t>127. In this case, the centralized process of preparing bids by Girod and SMAB favored the generalization of cover bids and systematically distorted the functioning of competition. These widespread practices are all the more serious as a genuine strategy of concealment was implemented to simulate competition between the offers of the two companies. They were the work of the manager of these companies whose essential activity was to execute the metalwork and locksmithing works of public contracts won in Île-de-France. Mr. X..., due to his long experience with public contracts, was perfectly aware of the applicable competition rules which he knowingly disregarded.</w:t>
      </w:r>
    </w:p>
    <w:p>
      <w:r>
        <w:t>128. Furthermore, the companies involved continued these practices with full knowledge from 2001 to 2006 despite a particularly clear warning issued by the administration.</w:t>
      </w:r>
    </w:p>
    <w:p>
      <w:r>
        <w:t>2. REGARDING THE DAMAGE TO THE ECONOMY</w:t>
      </w:r>
    </w:p>
    <w:p>
      <w:r>
        <w:t>a) On the significance of the damage</w:t>
      </w:r>
    </w:p>
    <w:p>
      <w:r>
        <w:t>129. It should first be noted that Article L. 464-2 of the Commercial Code states, among the criteria for sanctions, the "significance" of the damage caused to the economy: it does not require a precise evaluation. The Court of Cassation has indeed accepted that the existence of damage to the economy can be inferred from the harm to competition caused by the practice. For example, in a ruling dated January 10, 1995, Société SOGEA, the Court of Cassation approved the Paris Court of Appeal for recalling that "damage to the economy is presumed by law as soon as the existence of an agreement is established."</w:t>
      </w:r>
    </w:p>
    <w:p>
      <w:r>
        <w:t>130. More recently, regarding the assessment of sanctions incurred by companies that participated in an agreement during submissions for tenders for the construction of public works for the realization of the A84 highway (ruling of March 7, 2006), the Court of Appeal again considered that "the damage caused to the economy, which is independent of the damage suffered by the project owner, is established, if only due to the obstruction to the normal functioning of competition among the competitors selected by the DDE of Manche, the deception that resulted regarding the reality of this competition, and the duration of the practices noted by the Council, which continued for more than a year, such a concerted action being reprehensible solely by its existence."</w:t>
      </w:r>
    </w:p>
    <w:p>
      <w:r>
        <w:t>131. In this case, the damage caused to the economy exists, as the agreement between the companies Girod and SMAB, which obstructed the normal functioning of competition among competitors and deceived the project owner regarding the reality of competition, is demonstrated.</w:t>
      </w:r>
    </w:p>
    <w:p>
      <w:r>
        <w:t>132. The significance of the damage can particularly be assessed through the duration of the practices and their repetition. In this case, the duration of the practices is significant, as they do not limit themselves to the establishment of the agreement prior to the submission of bids, but also include the effects that result during the duration of the contract. The period of practices coinciding with the original or renewed duration of contracts awarded for the years 2002 to 2006 (launched between 2001 and 2004 for durations ranging from 1 to 3 years) is considered significant by case law and arithmetically increases the damage to the economy. The practices were repeated in successive rounds of tenders for the same contracts and between distinct contracts. They concern twenty-three contracts, representing 37% of the sampled contracts.</w:t>
      </w:r>
    </w:p>
    <w:p>
      <w:r>
        <w:t>133. The value of the affected contracts also constitutes an element for assessing the damage to the economy. In this case, it amounts during the reference period to approximately one year of turnover for the company SMAB and to 135% of the annual turnover of Girod Père et Fils.</w:t>
      </w:r>
    </w:p>
    <w:p>
      <w:r>
        <w:t>134. Finally, it is necessary to take into account the reduction of competitive pressure resulting from the practices.</w:t>
      </w:r>
    </w:p>
    <w:p>
      <w:r>
        <w:t>135. For each contract and, where applicable, for the successive tenders of the same contract, the intensity of competitive pressure has been calculated based on the number of competing bids submitted, relative to the total number of bids.</w:t>
      </w:r>
    </w:p>
    <w:p>
      <w:r>
        <w:t>136. This evaluation shows that the practices have reduced the intensity of competitive pressure on the affected markets by more than 30% on average. For certain tenders, the competitive intensity is zero, due to the sole candidacy of the companies Girod and SMAB. The situations where the competitive intensity does not seem affected (ratio of 100%) actually mask a division of lots (contracts from the General Council of Val de Marne and the city of Argenteuil) that is not accounted for by the method of calculating the competitive intensity ratio, but which nonetheless disrupts competitive dynamics. This indicator only records as an infringement of competition the simultaneous candidacies of Girod and SMAB for the same contracts, in the event that the project owner is not informed of the links between them. The often limited number of candidacies for the lots of "joinery, metalwork, locksmithing" amplifies the effect of reduced competitive intensity.</w:t>
      </w:r>
    </w:p>
    <w:p>
      <w:r>
        <w:t>137. In light of these elements, it should be considered that the observed anti-competitive practices have caused significant damage to the economy.</w:t>
      </w:r>
    </w:p>
    <w:p>
      <w:r>
        <w:t>b) On the contestation of the effect of the practices by the "absence" of damage caused to public buyers</w:t>
      </w:r>
    </w:p>
    <w:p>
      <w:r>
        <w:t>138. The companies Girod and SMAB contest that "the damage to the economy is presumed due to the existence of the infringement, without it being necessary to consider the damage possibly caused to the public buyers who awarded the contracts in question." They argue that "in the field of calls for tenders, the determination of a sanction must analyze and take into account the existence or absence of damage caused to public buyers."</w:t>
      </w:r>
    </w:p>
    <w:p>
      <w:r>
        <w:t>139. The companies involved rely on the decision-making practice of the Council and on the case law of the Paris Court of Appeal regarding calls for tenders, commented on in the annual reports of the Council, to establish a causal relationship between the additional cost borne by the public buyer due to the practices (additional cost essentially due to a price higher than that which would have resulted from the free play of competition or to losses suffered due to the failure of the tender) and the damage caused to the economy. They believe that in the absence of such additional cost, the damage to the economy would be limited.</w:t>
      </w:r>
    </w:p>
    <w:p>
      <w:r>
        <w:t>140. Finally, they invoke a ruling of the Paris Court of Appeal dated December 13, 2005, Société Appia Revillon, from which it would follow that the sanction must be determined by examining whether the conduct and awarding of contracts could have had a different outcome in the event of normal functioning of competition. They deduce that if the practices did not affect the nominal awarding of the contracts in question, the damage to the economy would be limited.</w:t>
      </w:r>
    </w:p>
    <w:p>
      <w:r>
        <w:t>141. The companies in question distinguish between contracts for which Girod and SMAB remain the most advantageous bidders or those for which the results of the consultation are identical to those resulting from the normal play of competition, from those for which the practices would have allowed Girod and SMAB to obtain lots that they would not have received in the context of normal competitive play or that would have been declared unsuccessful if the links between the two companies had been revealed. In the first case, the absence of increased costs for the contracts and the stability of the awards would imply that the practices did not cause damage to public buyers. In the second, the damage would be characterized.</w:t>
      </w:r>
    </w:p>
    <w:p>
      <w:r>
        <w:t>142. It should be recalled that in the case of collusion in the context of calls for tenders, "the damage caused to the economy is independent of the damage suffered by the project owner due to the collusion between several bidding companies and is assessed based on the direct obstruction to the free play of competition" (Paris Court of Appeal January 13, 1998, Fougerolle Ballot). In a recent ruling dated October 8, 2008, Société SNEF, the Paris Court of Appeal recalled that "the damage to the economy referred to by the above provisions of Article L. 462-4 of the Commercial Code is not limited to the harm possibly suffered by the project owner and is assessed based on the general disruption brought to the normal functioning of the markets by the practices in question, which is characterized, in this case, by the disorder resulting from the discovery of two identical bids submitted by companies that are only apparently competitors."</w:t>
      </w:r>
    </w:p>
    <w:p>
      <w:r>
        <w:t>143. Reducing the damage to the economy to only the damage caused to public buyers is neither consistent with the decision-making practice of the Council nor with the case law of the supervisory courts, which clearly affirm the distinction between these two notions. Furthermore, case law has clearly sanctioned, in cases where the market price was not likely to cause damage to public buyers (prices close to or even below the administrative estimate, for example), practices that caused damage to the economy due to...</w:t>
      </w:r>
    </w:p>
    <w:p>
      <w:r>
        <w:rPr>
          <w:b/>
        </w:rPr>
        <w:t>[Pages 25–27]</w:t>
      </w:r>
    </w:p>
    <w:p>
      <w:r>
        <w:t>obstructing the free play of competition and the resulting harm to the economic public order.</w:t>
      </w:r>
    </w:p>
    <w:p>
      <w:r>
        <w:t>144. As highlighted in decision No. 07-D-15 of the Council, "companies cannot argue in their defense that in many cases, the selected offer corresponded to the administration's estimate or was contained by the project owner," "only the normal functioning of competition and the uncertainty regarding the amounts of the offers proposed by competitors (being) capable of guaranteeing the obtaining of the fair price."</w:t>
      </w:r>
    </w:p>
    <w:p>
      <w:r>
        <w:t>145. Finally, one cannot invoke the Appia Revillon ruling cited in the 2005 report, "that in the matter of calls for tenders, the sanction must be determined by examining whether the conduct and award of the contracts in question could have had a different outcome in the event of a normal functioning of the competition." In this specific ruling, the Paris Court of Appeal found that the harm to the economy was limited, as the contract did not exceed 83,000 euros and none of the sanctioned companies were ultimately awarded, their offers being higher than that of the lowest bidder. This does not mean that if one of the sanctioned companies had been the lowest bidder, this positioning would have somehow erased the effects of the practice and effectively limited the harm to the economy. The offer, even if lower, is always the result of collusion among the bidding companies and in no case is the price resulting from the free play of competition.</w:t>
      </w:r>
    </w:p>
    <w:p>
      <w:r>
        <w:t>3. ON THE ELEMENTS OF INDIVIDUALIZATION OF SANCTIONS</w:t>
      </w:r>
    </w:p>
    <w:p>
      <w:r>
        <w:t>a) The cessation of practices</w:t>
      </w:r>
    </w:p>
    <w:p>
      <w:r>
        <w:t>146. The companies in question argue that the disputed practices would have likely ceased since 2005, according to allegations from the former manager reported by his successor, and certainly since April 2007, from which point the companies Girod and SMAB no longer submitted bids concurrently for public tenders. This period coincides with the change in management and ownership of the companies Girod and SMAB, which were sold on April 6, 2007, by Mr. X... to Silver Compagnie Développement, with Mr. B… becoming the manager of both companies.</w:t>
      </w:r>
    </w:p>
    <w:p>
      <w:r>
        <w:t>147. Under the impetus of the new management, "its own commercial policy for responding to calls for tenders that complies with competition rules" was implemented. Since then, the two companies "at no time submitted bids in response to the same calls for tenders." The summary table of calls for tenders recorded between April 2007 and September 2008 highlights, based on 258 contracts, a submission in the name of only the company Girod in almost all cases and a submission in the name of SMAB in two cases. For 58 calls for tenders, neither company submitted a bid.</w:t>
      </w:r>
    </w:p>
    <w:p>
      <w:r>
        <w:t>148. This compliance would be autonomous in that it would have occurred before the new management became aware of the investigation conducted by the DGCCRF, which would not have been revealed during the simultaneous change of shareholders and management.</w:t>
      </w:r>
    </w:p>
    <w:p>
      <w:r>
        <w:t>149. If the change in bidding policy indeed reflects a cessation of the disputed practices from April 2007, no element supports that this cessation would be earlier and date back to 2005, especially since the analyzed contracts from 2002 to 2005 continue to affect the fiscal years 2005 and 2006, as evidenced by the billing table.</w:t>
      </w:r>
    </w:p>
    <w:p>
      <w:r>
        <w:t>150. In any case, the cessation of a company's participation in an agreement, if taken into account for assessing the duration of that agreement, does not constitute a circumstance that in itself mitigates the seriousness of the offense.</w:t>
      </w:r>
    </w:p>
    <w:p>
      <w:r>
        <w:t>b) The proportionality of the sanction to the situation of the companies</w:t>
      </w:r>
    </w:p>
    <w:p>
      <w:r>
        <w:t>151. The companies in question, referring to the provision that sanctions imposed must be proportionate to the situation of the sanctioned company, argue that applying a sanction set at the maximum rate of the base sanction (5%) with a hypothetical reduction of 20% would result in a disproportionate sanction relative to their results (essentially the sanction would represent 40% of Girod's profit and 50% of SMAB's). It would "seriously and immediately compromise the financial situation of the companies" while causing harm to the new managing shareholders, as they bear no responsibility for the implementation of the pursued practices.</w:t>
      </w:r>
    </w:p>
    <w:p>
      <w:r>
        <w:t>152. However, the accounting data provided for the fiscal year 2007 does not establish that the sanctions that could be applied by the Council would compromise the financial situation of the companies. The most significant financial ratios (working capital requirement and cash requirement) which seem satisfactory would not, by construction, be affected by the level of the sanction. Furthermore, the level of liquidity of both companies largely covers their respective sanctions calculated at the maximum rate.</w:t>
      </w:r>
    </w:p>
    <w:p>
      <w:r>
        <w:t>153. It is necessary to take into account the change in behavior of the companies due to the change in shareholders and management. The measures taken by Mr. B... upon his arrival to ensure the compliance of the group's behavior with competition rules justify considering, for the calculation of the incurred sanctions, the revenue of the year 2006, the last year of implementation of the practices by the former management of the group.</w:t>
      </w:r>
    </w:p>
    <w:p>
      <w:r>
        <w:t>4. REGARDING THE SCOPE OF COMMITMENTS</w:t>
      </w:r>
    </w:p>
    <w:p>
      <w:r>
        <w:t>154. When the procedure provided for in III of Article L. 464-2 of the Commercial Code is implemented, the Council, which examines the position of the general rapporteur regarding the adjustment of the financial sanction incurred, takes into account both the non-contestation of the grievances and the commitments made.</w:t>
      </w:r>
    </w:p>
    <w:p>
      <w:r>
        <w:t>155. However, the mere renunciation to contest the grievances, which primarily serves to lighten and accelerate the work of the investigation by dispensing with the drafting of the report, particularly when chosen by all the parties involved, cannot lead to granting the companies in question only a flat-rate and relatively limited reduction of the incurred sanction. It is the quality of the commitments that can allow for more substantial countermeasures to be granted within this procedure, as indicated by the Council in its decision No. 04-D-65 of November 30, 2004: "In certain market situations, the commitments made (...) can have, for the respect of the rules of competitive play, greater effectiveness than sanctions, particularly if these commitments reflect a substantial modification of the practices of this company and if the competition authorities are enabled to verify their effective application."</w:t>
      </w:r>
    </w:p>
    <w:p>
      <w:r>
        <w:t>156. Commitment No. 1, aimed at submitting only one bid (Girod or SMAB) for the calls for tenders launched by public operators, is likely to put an end to the practices that founded the grievance. The corollary commitment aimed at, in cases of subcontracting one by the other, informing the contracting authority of the existence of the links uniting them, helps to avoid circumventing the main commitment.</w:t>
      </w:r>
    </w:p>
    <w:p>
      <w:r>
        <w:t>157. Commitments No. 2 and No. 3 place all personnel involved in responding to calls for tenders within a hierarchical process, to whom a directive recalling the principle of a single submission within the group is transmitted, supplemented by a note specifying the competition rules and the case law applicable to public contracts. The involvement of the president of each company through the systematic visa of submissions lends credibility to these commitments. This strengthening of hierarchical control over the process of responding to public contracts is all the more necessary as the different levels have been involved in the implementation of the disputed practices and that some of the personnel concerned are still in office.</w:t>
      </w:r>
    </w:p>
    <w:p>
      <w:r>
        <w:t>158. Commitment No. 4 consists of maintaining a register of submissions transmitted semi-annually to the competition authorities for three years, then accessible, potentially ensuring external control of the implementation of the main commitment. The retention of contract documents for a period of three years, regardless of the outcome of the application, and then beyond this period, of only the documents of the contracts obtained, should allow for any cross-checking of the information in the register.</w:t>
      </w:r>
    </w:p>
    <w:p>
      <w:r>
        <w:t>159. The proposed commitments must be regarded as credible, verifiable, and capable of preventing in particular the disputed practices of the same nature as those sanctioned by the Council in this case. They justify a reduction of the sanction that should normally have been imposed on the companies Girod père et fils and SMAB.</w:t>
      </w:r>
    </w:p>
    <w:p>
      <w:r>
        <w:t>5. ON THE CEILING OF SANCTIONS</w:t>
      </w:r>
    </w:p>
    <w:p>
      <w:r>
        <w:t>160. I of Article L. 464-2 of the Commercial Code, in its wording resulting from the law of May 15, 2001, states: "If the offender is not a company, the maximum amount of the sanction is 3 million euros. The maximum amount of the sanction is, for a company, 10% of the highest worldwide turnover excluding taxes achieved during one of the fiscal years closed since the fiscal year preceding that during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w:t>
      </w:r>
    </w:p>
    <w:p>
      <w:r>
        <w:t>161. Article L. 464-5 of the Commercial Code states: "The Council, when ruling according to the simplified procedure provided for in Article L. 463-3, may impose the measures provided for in I of Article L. 464-2. However, the financial sanction may not exceed 750,000 euros for each of the authors of prohibited practices."</w:t>
      </w:r>
    </w:p>
    <w:p>
      <w:r>
        <w:t>162. III of Article L. 464-2 of the Commercial Code provides that when the procedure of non-contestation of grievances followed by commitments is used, "the maximum amount incurred is reduced by half."</w:t>
      </w:r>
    </w:p>
    <w:p>
      <w:r>
        <w:t>163. The highest turnover to be taken into account corresponds to the turnover of the fiscal year 2007 for Girod and the turnover of 2005 for SMAB, namely 7,058,971 euros excluding taxes and 2,470,583 euros excluding taxes, respectively.</w:t>
      </w:r>
    </w:p>
    <w:p>
      <w:r>
        <w:t>164. In application of III of Article L. 464-2, the legal ceiling of the applicable sanction is reduced to 5% of these turnovers, namely 352,949 euros for Girod and 123,529 euros for SMAB.</w:t>
      </w:r>
    </w:p>
    <w:p>
      <w:r>
        <w:rPr>
          <w:b/>
        </w:rPr>
        <w:t>[Pages 28–28]</w:t>
      </w:r>
    </w:p>
    <w:p>
      <w:r>
        <w:t>6. ON THE AMOUNT OF SANCTIONS</w:t>
      </w:r>
    </w:p>
    <w:p>
      <w:r>
        <w:t>165. Based on the general and individual elements as assessed, the amount of the financial sanction imposed on the company Girod Père et Fils, based on the turnover achieved in 2006, which is 5,009,518 euros (see paragraph 162), would have been 100,000 euros. To take into account the absence of contestation of the grievances and the commitments made, this amount is reduced to 90,000 euros.</w:t>
      </w:r>
    </w:p>
    <w:p>
      <w:r>
        <w:t>166. Based on the general and individual elements as assessed, and in particular the cessation of practices as of April 2007, the amount of the financial sanction imposed on the company SMAB, based on the turnover achieved in 2006, which is 2,412,261 euros (see paragraph 162), would have been 48,500 euros. To take into account the absence of contestation of the grievances and the commitments made, this amount is reduced to 43,600 euros.</w:t>
      </w:r>
    </w:p>
    <w:p>
      <w:r>
        <w:t>7. ON THE FOLLOW-UP ACTIONS</w:t>
      </w:r>
    </w:p>
    <w:p>
      <w:r>
        <w:t>167. The facts revealed by the course of the calls for tenders described above, as detailed in paragraphs 70 to 107, are likely to receive a criminal qualification under the provisions of Article L. 420-6 of the Commercial Code, which punishes offenses committed by individuals who take a personal, decisive, and fraudulent part in the commission of anti-competitive practices. Therefore, the entire file will be transmitted to the public prosecutor near the High Court of Créteil.</w:t>
      </w:r>
    </w:p>
    <w:p>
      <w:r>
        <w:t>DECISION</w:t>
      </w:r>
    </w:p>
    <w:p>
      <w:r>
        <w:t>Article 1: It is established that the companies Girod Père et Fils and SMAB have violated the provisions of Article L. 420-1 of the Commercial Code.</w:t>
      </w:r>
    </w:p>
    <w:p>
      <w:r>
        <w:t>Article 2: The following financial sanctions are imposed:</w:t>
        <w:br/>
        <w:t>• on the company Girod Père et Fils a sanction of 90,000 euros;</w:t>
        <w:br/>
        <w:t>• on the company SMAB a sanction of 43,600 euros;</w:t>
      </w:r>
    </w:p>
    <w:p>
      <w:r>
        <w:t>Article 3: The file is transmitted to the public prosecutor near the High Court of Créteil in application of Article L. 420-6 of the Commercial Code.</w:t>
      </w:r>
    </w:p>
    <w:p>
      <w:r>
        <w:t>Deliberated on the oral report of Mr. Vaury, by Mrs. Aubert, Vice-President, Chair of the session, Mrs. Behar-Touchais, Messrs. Combe, Piot, and Ripotot, members.</w:t>
      </w:r>
    </w:p>
    <w:p>
      <w:r>
        <w:t>The session secretary, The Vice-President,</w:t>
        <w:br/>
        <w:t>Marie-Anselme Lienafa Françoise Aubert</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