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https://www.autoritedelaconcurrence.fr/fr/decision/relative-des-pratiques-relevees-dans-le-secteur-des-moyens-de-paiements-scripturaux</w:t>
      </w:r>
    </w:p>
    <w:p>
      <w:r>
        <w:t>Pages translated : 71</w:t>
      </w:r>
    </w:p>
    <w:p/>
    <w:p>
      <w:r>
        <w:rPr>
          <w:b/>
        </w:rPr>
        <w:t>[Pages 1–3]</w:t>
      </w:r>
    </w:p>
    <w:p>
      <w:r>
        <w:t xml:space="preserve">FRENCH REPUBLIC  </w:t>
        <w:br/>
        <w:t xml:space="preserve">Decision No. 12-D-17 of July 5, 2012  </w:t>
        <w:br/>
        <w:t xml:space="preserve">regarding practices identified in the sector of  </w:t>
        <w:br/>
        <w:t xml:space="preserve">scriptural payment means (direct debit, interbank payment order, telepayment, transfer, and bill of exchange)  </w:t>
        <w:br/>
        <w:t xml:space="preserve">The Competition Authority (permanent commission);  </w:t>
        <w:br/>
        <w:t xml:space="preserve">Considering the letters registered on February 27, 2009, and July 28, 2011, under numbers 09/0017 F – 10/0008 F and 11/0064 F, by which the Federation of Enterprises in Commerce and Distribution (FCD) and the Association for the Defense of Users of European Payment Means (ADUMPE) referred to the Competition Authority practices related to multilateral interchange commissions applied to direct debit, interbank payment order, telepayment, transfer, and bill of exchange, in France;  </w:t>
        <w:br/>
        <w:t xml:space="preserve">Considering the decision of February 2, 2011, by which the general rapporteur separated from case 09/0017 F - 10/0008 F the part of this case relating to practices other than those concerning bank cards "CB" and opened a new registration number for the instruction of this distinct part under reference 11/0012 F;  </w:t>
        <w:br/>
        <w:t xml:space="preserve">Considering the decision of July 12, 2011, by which the general rapporteur separated from case 11/0012 F the part of this case relating to practices other than those concerning payment cards and opened a new registration number for the instruction of the present procedure under reference 11/0053 F;  </w:t>
        <w:br/>
        <w:t xml:space="preserve">Considering the decision of August 26, 2011, by which the general rapporteur joined the instruction of the two referrals registered under numbers 11/0053 F and 11/0064 F;  </w:t>
        <w:br/>
        <w:t xml:space="preserve">Considering Articles 101 and 102 of the Treaty on the Functioning of the European Union;  </w:t>
        <w:br/>
        <w:t xml:space="preserve">Considering Book IV of the amended Commercial Code;  </w:t>
        <w:br/>
        <w:t xml:space="preserve">Considering the business secrecy decisions No. 11-DSA-357 of November 29, 2011, No. 11-DSA-358 of November 29, 2011, No. 11-DSA-359 of November 29, 2011, No. 11-DSA-360 of November 29, 2011, No. 12-DSA-73 of February 24, 2012, No. 12-DSA-74 of February 24, 2012, No. 12-DSA-91 of February 24, 2012, No. 12-DSA-75 of February 24, 2012, No. 12-DSA-112 of February 29, 2012, No. 12-DSA-76 of February 24, 2012, No. 12-DSA-113 of February 29, 2012, No. 12-DSA-77 of February 24, 2012, No. 12-DSA-78 of February 24, 2012, No. 12-DSA-92 of February 24, 2012, No. 12-DSA-79 of February 24, 2012, No. 12-DSA-101 of February 29, 2012, No. 12-DSA-80 of February 24, 2012, No. 12-DSA-82 of March 5, 2012, No. 12-DSA-114 of February 29, 2012, No. 12-DSA-81 of February 24, 2012, No. 12-DSA-94 of February 24, 2012, No. 12-DSA-83 of February 24, 2012, No. 12-DSA-84 of February 24, 2012, No. 12-DSA-102 of February 29, 2012, No. 12-DSA-85 of February 24, 2012, No. 12-DSA-86 of February 24, 2012, No. 12-DSA-111 of February 29, 2012, No. 12-DSA-90 of February 21, 2012, No. 12-DSA-97 of February 24, 2012, No. 12-DSA-110 of February 29, 2012, No. 12-DSA-110 of February 29, 2012, No. 12-DSA-115 of March 5, 2012, No. 12-DSA-188 of May 15, 2012, No. 12-DSA-189 of May 15, 2012, No. 12-DSA-190 of May 15, 2012, No. 12-DSA-191 of May 15, 2012;  </w:t>
        <w:br/>
        <w:t xml:space="preserve">Considering the declassification decisions No. 12-DEC-06 of March 12, 2012, No. 12-DEC-08 of March 12, 2012, No. 12-DEC-09 of March 12, 2012, No. 12-DEC-10 of March 12, 2012, No. 12-DEC-11 of March 12, 2012, No. 12-DEC-12 of March 12, 2012, No. 12-DEC-13 of March 12, 2012, No. 12-DEC-14 of March 12, 2012, No. 12-DEC-15 of March 12, 2012;  </w:t>
        <w:br/>
        <w:t xml:space="preserve">Considering the commitments proposed jointly by the banks BNP Paribas, Crédit Agricole, LCL, BPCE, National Confederation of Crédit Mutuel, Crédit Industriel et Commercial, HSBC France, La Banque Postale, Société Générale, Crédit du Nord, and Banque de France as well as the commitments proposed by the French Banking Federation (hereinafter "FBF");  </w:t>
        <w:br/>
        <w:t xml:space="preserve">Considering the responses to the market test presented by Leroy Merlin, Bouygues Telecom, EDF, the Council of Commerce of France, UFC Que Choisir, Allianz, the General Confederation of Small and Medium Enterprises (CGPME), the Association for the Defense of Users of European Payment Means (ADUMPE), the FCD, GDF SUEZ, Saur, Poweo, the Central Agency of Social Security Organizations (ACOSS), Vivendi, Veolia, Canal+, Axa, SFR, and Vinci Park;  </w:t>
        <w:br/>
        <w:t xml:space="preserve">The rapporteurs, the general rapporteur, the Government Commissioner, and representatives of the banks involved in the procedure, of the AFB, of the FBF, of the FCD, of the ADUMPE, and their members heard during the session of June 12, 2012;  </w:t>
        <w:br/>
        <w:t xml:space="preserve">Adopts the following decision:  </w:t>
        <w:br/>
        <w:t>2</w:t>
      </w:r>
    </w:p>
    <w:p>
      <w:r>
        <w:t xml:space="preserve">SUMMARY  </w:t>
        <w:br/>
        <w:t xml:space="preserve">SUMMARY .............................................................................................. 3  </w:t>
        <w:br/>
        <w:t xml:space="preserve">I. FINDINGS ........................................................................................................................... 7  </w:t>
        <w:br/>
        <w:t xml:space="preserve">A. The referrals ........................................................................................................... 7  </w:t>
        <w:br/>
        <w:t xml:space="preserve">B. The concerned sector ............................................................................................. 7  </w:t>
        <w:br/>
        <w:t xml:space="preserve">1. The four-corner systems ......................................................................................... 8  </w:t>
        <w:br/>
        <w:t xml:space="preserve">2. The different means of payment ............................................................................. 9  </w:t>
        <w:br/>
        <w:t xml:space="preserve">a) The two categories of scriptural payment means .............................................. 10  </w:t>
        <w:br/>
        <w:t xml:space="preserve">(i) The means of payment that do not require the explicit consent of the debtor for the payment to be executed: direct debit .................................................. 10  </w:t>
        <w:br/>
        <w:t xml:space="preserve">(ii) The means of payment that require the express consent of the debtor for the payment to be accepted: the TIP, telepayment, bill of exchange, transfer .......................................................................................................... 11  </w:t>
        <w:br/>
        <w:t xml:space="preserve">b) The cases of billing for these means of payment ............................................... 13  </w:t>
        <w:br/>
        <w:t xml:space="preserve">(i) The cases of billing of debtors ......................................................................... 13  </w:t>
        <w:br/>
        <w:t xml:space="preserve">(ii) The cases of billing of creditors ..................................................................... 15  </w:t>
        <w:br/>
        <w:t xml:space="preserve">c) The operations to which the studied means of payment may give rise: AOCT and DRE .......................................................................................... 16  </w:t>
        <w:br/>
        <w:t xml:space="preserve">C. The concerned actors ............................................................................................ 16  </w:t>
        <w:br/>
        <w:t xml:space="preserve">1. The banking participants ..................................................................................... 16  </w:t>
        <w:br/>
        <w:t xml:space="preserve">a) The Banque de France, hereinafter "BDF" ...................................................... 17  </w:t>
        <w:br/>
        <w:t xml:space="preserve">b) BNP-Paribas .................................................................................................... 17  </w:t>
        <w:br/>
        <w:t xml:space="preserve">c) Société Générale .............................................................................................. 17  </w:t>
        <w:br/>
        <w:t xml:space="preserve">d) Crédit du Nord ............................................................................................... 17  </w:t>
        <w:br/>
        <w:t xml:space="preserve">e) Crédit Agricole ............................................................................................... 17  </w:t>
        <w:br/>
        <w:t xml:space="preserve">f) LCL – Le Crédit Lyonnais ............................................................................... 18  </w:t>
        <w:br/>
        <w:t xml:space="preserve">g) The BPCE group ............................................................................................. 18  </w:t>
        <w:br/>
        <w:t xml:space="preserve">h) HSBC (Hong Kong Shanghai Banking Corp.) ................................................ 18  </w:t>
        <w:br/>
        <w:t xml:space="preserve">i) La Banque Postale .......................................................................................... 18  </w:t>
        <w:br/>
        <w:t xml:space="preserve">j) Crédit Mutuel .................................................................................................. 18  </w:t>
        <w:br/>
        <w:t xml:space="preserve">k) Crédit Industriel et Commercial (CIC) .......................................................... 19  </w:t>
        <w:br/>
        <w:t xml:space="preserve">l) The French banking associations: the AFB and the FBF ............................... 19  </w:t>
        <w:br/>
        <w:t xml:space="preserve">2. Non-banking participants: users of payment means, debtor and creditor .................................................................................................................. 19  </w:t>
        <w:br/>
        <w:t xml:space="preserve">D. The European context of SEPA .......................................................................... 20  </w:t>
        <w:br/>
        <w:t>3</w:t>
      </w:r>
    </w:p>
    <w:p>
      <w:r>
        <w:rPr>
          <w:b/>
        </w:rPr>
        <w:t>[Pages 4–6]</w:t>
      </w:r>
    </w:p>
    <w:p>
      <w:r>
        <w:t xml:space="preserve">1. The range of payment methods ............................................................... 20  </w:t>
        <w:br/>
        <w:t xml:space="preserve">2. The timetable ........................................................................................... 21  </w:t>
        <w:br/>
        <w:t xml:space="preserve">3. The multilateral interchange fees associated with these payment methods ............................................................................................................ 21  </w:t>
        <w:br/>
        <w:t xml:space="preserve">E. The concerned behaviors .......................................................................... 23  </w:t>
        <w:br/>
        <w:t xml:space="preserve">1. The principle of multilateral interbank fees .............................................. 23  </w:t>
        <w:br/>
        <w:t xml:space="preserve">2. History of these fees ................................................................................ 23  </w:t>
        <w:br/>
        <w:t xml:space="preserve">3. The circumstances of the creation of interbank fees .............................. 25  </w:t>
        <w:br/>
        <w:t xml:space="preserve">a) The working groups of the CFONB ........................................................ 25  </w:t>
        <w:br/>
        <w:t xml:space="preserve">b) The inter-network commission (or "CIR") ............................................. 26  </w:t>
        <w:br/>
        <w:t xml:space="preserve">4. The joint setting of the level of interbank conditions, and in particular interbank fees .......................................................................................... 28  </w:t>
        <w:br/>
        <w:t xml:space="preserve">a) The interbank fee on direct debit .......................................................... 28  </w:t>
        <w:br/>
        <w:t xml:space="preserve">b) The interbank fee on telepayment ....................................................... 30  </w:t>
        <w:br/>
        <w:t xml:space="preserve">c) The interbank fee on the electronic payment title "TEP" .................... 30  </w:t>
        <w:br/>
        <w:t xml:space="preserve">d) The interbank fee on the interbank payment title "TIP" ...................... 31  </w:t>
        <w:br/>
        <w:t xml:space="preserve">e) The interbank fee on erroneous compensated transaction cancellations "AOCT" .......................................................................................... 32  </w:t>
        <w:br/>
        <w:t xml:space="preserve">f) The interbank fee on the bill of exchange "LCR" ............................... 32  </w:t>
        <w:br/>
        <w:t xml:space="preserve">g) The interbank fee on requests for restitution of commercial effects "DRE" .................................................................................................. 32  </w:t>
        <w:br/>
        <w:t xml:space="preserve">h) The interbank fees on transfers ............................................................. 32  </w:t>
        <w:br/>
        <w:t xml:space="preserve">i) The fees on rejections .......................................................................... 33  </w:t>
        <w:br/>
        <w:t xml:space="preserve">F. The preliminary assessment ..................................................................... 34  </w:t>
        <w:br/>
        <w:t xml:space="preserve">1. The relevant market ................................................................................ 34  </w:t>
        <w:br/>
        <w:t xml:space="preserve">a) The market for products ....................................................................... 34  </w:t>
        <w:br/>
        <w:t xml:space="preserve">(i) Substitutability between payment methods from the perspective of debtors .......................................................................................... 34  </w:t>
        <w:br/>
        <w:t xml:space="preserve">(ii) Substitutability between payment methods from the perspective of creditors .......................................................................................... 35  </w:t>
        <w:br/>
        <w:t xml:space="preserve">(iii) Substitutability from the supply perspective .................................. 36  </w:t>
        <w:br/>
        <w:t xml:space="preserve">(iv) Conclusion on the definition of the product market ...................... 37  </w:t>
        <w:br/>
        <w:t xml:space="preserve">b) Delimitation of the geographical market ............................................. 38  </w:t>
        <w:br/>
        <w:t xml:space="preserve">2. The competition concerns raised by the practices in question ............. 38  </w:t>
        <w:br/>
        <w:t xml:space="preserve">a) The preliminary assessment of the anti-competitive nature of the agreements and practices in question with regard to their object ........................................................................................................... 38  </w:t>
        <w:br/>
        <w:t xml:space="preserve">(i) Principles ............................................................................................ 38  </w:t>
        <w:br/>
        <w:t xml:space="preserve">(ii) The inter-network commission (hereinafter, "CIR") used as a support for a potential collusion practice .................................................. 40  </w:t>
        <w:br/>
        <w:t xml:space="preserve">(iii) Competitive analysis of multilateral interchange fees .................... 41  </w:t>
        <w:br/>
        <w:t xml:space="preserve">b) The preliminary assessment of the anti-competitive nature of the agreements and practices in question with regard to their effects ........................................................................................................... 43  </w:t>
        <w:br/>
        <w:t xml:space="preserve">i. Statements from banks ....................................................................... 43  </w:t>
        <w:br/>
        <w:t xml:space="preserve">ii. The formulation of certain bank tariffs .............................................. 44  </w:t>
        <w:br/>
        <w:t xml:space="preserve">iii. Contractual clauses or validity of bank offers ................................. 45  </w:t>
        <w:br/>
        <w:t xml:space="preserve">iv. Differentiated pricing in certain cases between interbank and intrabank collections .............................................................................. 47  </w:t>
        <w:br/>
        <w:t xml:space="preserve">Fees charged to creditors on rejections of direct debits, TIP, and telepayments ...................................................................................................... 51  </w:t>
        <w:br/>
        <w:t xml:space="preserve">3. The justifications presented by the banks .............................................. 52  </w:t>
        <w:br/>
        <w:t xml:space="preserve">G. The implementation of the commitments procedure ............................... 53  </w:t>
        <w:br/>
        <w:t xml:space="preserve">1. The commitments initially proposed by the Banks and the FBF ............ 53  </w:t>
        <w:br/>
        <w:t xml:space="preserve">2. Observations collected during the market test ...................................... 54  </w:t>
        <w:br/>
        <w:t xml:space="preserve">a) Observations from the applicants and members of the ADUMPE ........ 55  </w:t>
        <w:br/>
        <w:t xml:space="preserve">(i) The commitments related to systematic fees proposed by the banks ..................................................................................................... 55  </w:t>
        <w:br/>
        <w:t xml:space="preserve">(ii) The commitments related to exceptional fees ................................. 55  </w:t>
        <w:br/>
        <w:t xml:space="preserve">(iii) The proposed methods for adjusting the costs of exceptional fees charged on transactions R ............................................................ 55  </w:t>
        <w:br/>
        <w:t xml:space="preserve">(iv) The methods for implementing and controlling the commitments proposed by the banks ................................................................. 56  </w:t>
        <w:br/>
        <w:t xml:space="preserve">(v) The commitments of the AFB/FBF .................................................... 56  </w:t>
        <w:br/>
        <w:t xml:space="preserve">b) Observations from UFC-Que Choisir ................................................... 56  </w:t>
        <w:br/>
        <w:t xml:space="preserve">(i) The gradual increase in the amount of fees .................................... 57  </w:t>
        <w:br/>
        <w:t xml:space="preserve">(ii) The impact of fees on consumers .................................................... 58  </w:t>
        <w:br/>
        <w:t xml:space="preserve">3. Modified commitments during the session ............................................. 58  </w:t>
        <w:br/>
        <w:t xml:space="preserve">II. DISCUSSION ................................................................................................................................... 60  </w:t>
        <w:br/>
        <w:t xml:space="preserve">A. On the applicability of European Union law ........................................... 60  </w:t>
        <w:br/>
        <w:t xml:space="preserve">1. The applicable law .................................................................................. 60  </w:t>
        <w:br/>
        <w:t xml:space="preserve">2. Application to the case at hand ............................................................... 60  </w:t>
        <w:br/>
        <w:t xml:space="preserve">B. On the relevance of the commitments procedure .................................... 62  </w:t>
        <w:br/>
        <w:t xml:space="preserve">1. Arguments from the applicants ............................................................... 62  </w:t>
        <w:br/>
        <w:t xml:space="preserve">2. Assessment ............................................................................................ 62  </w:t>
        <w:br/>
        <w:t xml:space="preserve">C. On the assessment of the commitments proposed by the banks ............ 64  </w:t>
        <w:br/>
        <w:t xml:space="preserve">1. On the implementation of the commitments .......................................... 64  </w:t>
        <w:br/>
        <w:t xml:space="preserve">a) On the effective date of the commitments ......................................... 64  </w:t>
        <w:br/>
        <w:t xml:space="preserve">b) On the transitional period ................................................................... 65  </w:t>
        <w:br/>
        <w:t xml:space="preserve">2. On the amount of systematic fees ........................................................... 66  </w:t>
        <w:br/>
        <w:t xml:space="preserve">D. On the interbank fees related to rejections ............................................. 66  </w:t>
        <w:br/>
        <w:t xml:space="preserve">1. The optional nature of the fee ................................................................. 67  </w:t>
        <w:br/>
        <w:t xml:space="preserve">2. The adequacy of the fee to the costs ...................................................... 67  </w:t>
        <w:br/>
        <w:t xml:space="preserve">E. The deadlines and conditions for implementing the cost study on exceptional fees .......................................................................................... 67  </w:t>
        <w:br/>
        <w:t xml:space="preserve">F. The duration of the commitments .............................................................. 69  </w:t>
        <w:br/>
        <w:t xml:space="preserve">G. The additional commitments mentioned in the contributions ................. 69  </w:t>
        <w:br/>
        <w:t xml:space="preserve">H. On the commitments made by the FBF .................................................... 70  </w:t>
        <w:br/>
        <w:t xml:space="preserve">III. CONCLUSION ................................................................................................................................ 70  </w:t>
        <w:br/>
        <w:t>Decision ................................................................................................... 71</w:t>
      </w:r>
    </w:p>
    <w:p>
      <w:r>
        <w:rPr>
          <w:b/>
        </w:rPr>
        <w:t>[Pages 7–9]</w:t>
      </w:r>
    </w:p>
    <w:p>
      <w:r>
        <w:t xml:space="preserve">I. Findings  </w:t>
        <w:br/>
        <w:t xml:space="preserve">A. THE REFERRALS  </w:t>
        <w:br/>
        <w:t xml:space="preserve">1. By registered letters dated February 27, 2009, and July 28, 2011, under numbers 09/0017 F – 10/0008 F and 11/0064 F, the Federation of Distribution Trade Enterprises (hereinafter, "FCD") and the Association for the Defense of Users of European Payment Means (hereinafter, "ADUMPE") reported to the Competition Authority practices related to multilateral interchange commissions applied to direct debits, interbank payment titles, telepayment, transfers, and bills of exchange in France.  </w:t>
        <w:br/>
        <w:t xml:space="preserve">2. The referral from the FCD originally had a broader scope than that of the ADUMPE: it concerned interbank commissions applicable to all means of payment, except for checks, as well as certain contractual clauses imposed by payment card systems. It has already led to the acceptance decision of commitments by the Competition Authority No. 11-D-11 regarding practices implemented by the Groupement des Cartes Bancaires. This referral was thus, in the first instance, joined, by decision of May 3, 2010, with that of the Conseil du Commerce de France (hereinafter: the CdCF), recorded under number 10/0008 F, which exclusively concerned interbank commissions collected during transactions by bank cards "CB," as well as standard contractual clauses defined within the Groupement des Cartes Bancaires.  </w:t>
        <w:br/>
        <w:t xml:space="preserve">3. By decision of February 2, 2011, the general rapporteur separated from case 09/0017 F - 10/0008 F the part of this case relating to practices other than those concerning bank cards "CB" and opened a new registration number for the instruction of this distinct part under reference 11/0012 F.  </w:t>
        <w:br/>
        <w:t xml:space="preserve">4. By decision of July 12, 2011, the general rapporteur separated from case 11/0012 F the part of this case relating to practices other than those concerning payment cards and opened a new registration number for the instruction of the present procedure under reference 11/0053 F.  </w:t>
        <w:br/>
        <w:t xml:space="preserve">5. The files registered under numbers 11/0053 F and 11/0064 F were thus joined by decision of the general rapporteur dated August 26, 2011. The referrers both denounce practices among competing banks concerning the setting of multilateral interbank commissions, particularly on direct debits, telepayment, and the Interbank Payment Title (hereinafter "TIP"), commissions that would be passed on to merchants.  </w:t>
        <w:br/>
        <w:t xml:space="preserve">B. THE RELEVANT SECTOR  </w:t>
        <w:br/>
        <w:t xml:space="preserve">6. The monetary and financial code distinguishes between fiat money, composed of coins and banknotes, and scriptural money, whose main instruments are checks, payment cards, direct debits, transfers, or bills of exchange.  </w:t>
        <w:br/>
        <w:t xml:space="preserve">7. The means of payment concerned by this case are direct debits, the TIP, transfers, bills of exchange, and telepayment. They share the common feature of being scriptural means of payment and operating within quadripartite systems, meaning they involve, in addition to the clearing system, four actors: the debtor, their bank, the creditor, and the creditor's bank. It is therefore necessary to describe the overall functioning scheme of these systems (1), before presenting more precisely each of the aforementioned means of payment (2).  </w:t>
        <w:br/>
        <w:t xml:space="preserve">1. THE FOUR CORNERS SYSTEMS  </w:t>
        <w:br/>
        <w:t xml:space="preserve">8. The following diagram presents the different contractual relationships between the involved actors:  </w:t>
        <w:br/>
        <w:t xml:space="preserve">9. These different interactions give rise, for some, to payments:  </w:t>
        <w:br/>
        <w:t xml:space="preserve">- debtor's bank – debtor: it is up to the debtor's bank to determine the banking fees to which the debtor is exposed for the establishment or use of a means of payment. For example, the establishment of a direct debit may be charged directly by certain banks. Debtors who are businesses may also be charged for their debit payment means. In addition, fees may be charged in the event of a rejected operation, for example due to insufficient funds, or likely to be rejected but ultimately authorized ("forced") by a customer advisor;  </w:t>
        <w:br/>
        <w:t xml:space="preserve">- clearing system – debtor's and/or creditor's banks: the clearing system generally charges fees for providing a platform and the services it renders to banks. As indicated, among others, by BNP Paribas and HSBC1, the fees charged by STET (the clearing system) are around 0.1c€ per transaction, both debit and credit;  </w:t>
        <w:br/>
        <w:t xml:space="preserve">1 Responses from HSBC and BNP Paribas to the supplementary questionnaire of January 18, 2012.  </w:t>
        <w:br/>
        <w:t xml:space="preserve">- creditor's bank – creditor: creditor banks may charge fees for collecting a payment, as well as in the event of a rejected operation.  </w:t>
        <w:br/>
        <w:t xml:space="preserve">10. The clearing system constitutes a platform within which different financial institutions communicate and exchange information or documents related to a transfer of funds to or with other financial institutions. It is therefore through the clearing system that establishments mutually inform each other of the existence of transactions. The clearing system also calculates regularly, each business day in the case of the French system, the balances of transactions between each pair of banks.  </w:t>
        <w:br/>
        <w:t xml:space="preserve">2. THE DIFFERENT MEANS OF PAYMENT  </w:t>
        <w:br/>
        <w:t xml:space="preserve">11. According to the Banque de France, 17 billion payment transactions were carried out by individual and business clients of French banks in 2010 (excluding cash payments and card withdrawals), representing a 3.9% increase over one year.  </w:t>
        <w:br/>
        <w:t xml:space="preserve">12. Emerging in the late 1960s, direct debit was, in 2010, the second means of payment in France by volume, with 3.3 billion direct debits, behind the card (7.4 billion transactions) but ahead of checks (3.1 billion) and transfers (3 billion). It represents nearly one-fifth of payments by volume (19.2%). It continues to develop today, as the number of direct debits increased by more than 20% between 2006 and 2010.  </w:t>
        <w:br/>
        <w:t>13. The TIP was used for approximately 100 million transactions in 2010, accounting for 0.6% of volumes. While the volume of telepayments is small (18.4 million in 2010), it has been growing strongly at about 20% each year since 2006. Furthermore, the values represented by telepayments are very significant, amounting to around 300 billion euros per year, which represents almost 40% of the total value of direct debits in 2010. Finally, several tens of millions of bills of exchange are used each year. Their volume has been decreasing by about 5% per year since the mid-2000s.</w:t>
      </w:r>
    </w:p>
    <w:p>
      <w:r>
        <w:rPr>
          <w:b/>
        </w:rPr>
        <w:t>[Pages 10–12]</w:t>
      </w:r>
    </w:p>
    <w:p>
      <w:r>
        <w:t>a) The two categories of scriptural payment methods</w:t>
        <w:br/>
        <w:t>14. There are two categories of scriptural payment methods. The report of the inter-network commission (hereinafter "CIR") dated December 2, 1994 defines these two categories as follows:</w:t>
        <w:br/>
        <w:t>“ - those for which the debtor accepts that their consent is tacit. This includes the ordinary direct debit (900 million/year) and the accelerated direct debit (4 million/year),</w:t>
        <w:br/>
        <w:t>- those for which the debtor wants their consent to be explicit. The main one is the check, which is estimated to be used for remote payments at 1.5 billion/year. Next is the TIP (125 million/year) and remote card payment (15 million/year). The TEP and the referenced transfer are two new products created in 1994 to meet the same need. The potential TeleTIP would also fall into this category” (underlining added).</w:t>
      </w:r>
    </w:p>
    <w:p>
      <w:r>
        <w:t>(i) The means of payment that do not require the express consent of the debtor for the payment to be executed: the direct debit</w:t>
        <w:br/>
        <w:t>15. A brochure from the CFONB "national direct debit" presents it as follows: it is “an automated payment method, particularly suited for repetitive payments, allowing a creditor to collect their claim from a debtor”2. Unlike the check or payment card, the direct debit is initiated by the creditor themselves, who sends a direct debit order to their bank. The issuance of a direct debit order is subject to the condition that the creditor has a national issuer number (NNE), the conditions for which are defined by the banking profession and which is communicated by the creditor's bank to the creditor.</w:t>
        <w:br/>
        <w:t>16. To carry out a direct debit, the creditor must have an initial mandate given by the debtor, or a direct debit request; the debtor must in turn send a second mandate, the direct debit authorization, to their own bank.</w:t>
        <w:br/>
        <w:t>17. The creditor's bank verifies the technical compliance of the issued direct debits, then presents the files of issued direct debits for settlement. The debtor's bank then receives these files and performs various checks (existence of the account, existence of a mandate, funds, etc.). If all conditions are met, the operation is authorized, the interbank settlement occurs on the due date, as does the debit of the debtor and the credit of the creditor.</w:t>
        <w:br/>
        <w:t>18. Conversely, if one of the conditions is not met, the direct debit is rejected by the debtor's bank. The latter then informs the creditor's bank of the reason for the rejection, which in turn relays this information to the creditor. A direct debit can be contested by the debtor up to eight weeks after the due date and the interbank settlement.</w:t>
        <w:br/>
        <w:t>19. There are two types of direct debit in France: the ordinary direct debit, which represents a very large majority of direct debits (over 90%) and the accelerated direct debit. The difference between these two categories lies in the exchange time in the settlement system and the interbank settlement: while it is four days for the ordinary direct debit, the time is reduced to two days for the accelerated direct debit.</w:t>
        <w:br/>
        <w:t>2 P.4 of the brochure, CP 8673.</w:t>
      </w:r>
    </w:p>
    <w:p>
      <w:r>
        <w:t>(ii) The means of payment that require the express consent of the debtor for the payment to be accepted: the TIP, telepayment, bill of exchange, transfer</w:t>
        <w:br/>
        <w:t>The TIP</w:t>
        <w:br/>
        <w:t>20. Introduced in February 1988, the TIP is a paper payment method reserved for remote payments that the CFONB presents as a substitute for the check. Its particularity is to allow the creditor to benefit from the initiative of collecting their claims while allowing the debtor to give their express consent for each payment.</w:t>
        <w:br/>
        <w:t>21. In practice, the TIP is issued at the same time as the invoice it is intended to pay. It then constitutes the invoice footer. Several details appear on the TIP, in particular the NNE, the bank details of the account to be debited, the amount, and the references of the claim. To issue TIPs, a creditor must have an NNE, as with the direct debit. When received, the debtor must date and sign the TIP to indicate their consent and return it to an address specified by the creditor. Generally, the TIP is then sent to a TIP processing center. The TIP center consists of two entities: the processor and the banking center. The processor is the entity that performs the physical processing of the TIP, verifying the compliance of the TIP with the debtor's bank account details. Ultimately, the processor is responsible for all physical processing of TIPs, including their archiving. The banking center, for its part, is responsible for ensuring the proper application of the processing rules established by the CFONB.</w:t>
        <w:br/>
        <w:t>22. Once the TIP enters the banking circuit, its processing is similar to that of the direct debit. The creditor's bank performs certain formal checks on the file, then sends the TIP file for settlement. The debtor's bank then performs checks, particularly on the bank details or funds, and then settles with its counterpart. Unlike the direct debit, which is a payment method with a due date, the TIP is a payment method on demand. The interbank settlement occurs the next business day after the settlement, even if the due date of the TIP, as indicated on the invoice, is later. This aspect can actually be advantageous for creditors: indeed, as Société Générale explains, “debtors using a TIP often return it with a certain lead time compared to the due date of the claim indicated on the invoice. This anticipation allows for early credit for the creditor, resulting in cash flow gains.” A TIP can also be contested by the debtor within a period of two calendar months. This possibility is, in practice, marginally used.</w:t>
        <w:br/>
        <w:t>23. The TIP also has a specificity: it can be used in conjunction with other payment methods. Thus, TIPs can be payable in cash at a post office. The TIP can also accompany a check in the settlement of a claim. In this latter case, the TIP is not used strictly as a means of payment, since it is the check itself that is presented for settlement, but rather as an accounting reconciliation tool for the creditor, which also facilitates the dematerialization of the check and the creation of a check image by the creditor's bank.</w:t>
        <w:br/>
        <w:t>3 Upon the first use of the TIP, the debtor must attach a bank account details document to indicate their bank details; this information is carried over to subsequent TIPs for the same issuer.</w:t>
      </w:r>
    </w:p>
    <w:p>
      <w:r>
        <w:t>The telepayment</w:t>
        <w:br/>
        <w:t>24. Telepayment is a remote payment method that appeared in October 1997. A successor to the TEP (Electronic Payment Title) which was initially designed for payments via Minitel, it allows the debtor to pay by account debit while giving their explicit consent for each payment. It is mainly used by businesses for various payments to the administration, which requires the payment of certain taxes by telepayment for businesses exceeding a certain revenue threshold. It is thus regularly used for VAT or corporate tax payments.</w:t>
        <w:br/>
        <w:t>25. As with the direct debit and the TIP, a creditor wishing to offer payment by telepayment must have an NNE. It can only be settled by telepayment by debtors who have signed up for telepayment. This membership is specific to a particular creditor. However, multi-creditor memberships are possible in the case of the administration.</w:t>
        <w:br/>
        <w:t>26. In practice, the creditor issues an invoice indicating to the debtor the amount to be paid and the payment deadline. In the case of the administration, telepayment may follow an online declaration. The debtor must then explicitly give their consent to the payment via one of the dematerialized supports offered by the creditor (voice server, internet server, etc.). The servers offered may be managed directly by the creditor (telepayment A) or, more rarely, by a TIP center (telepayment B). After recording the debtor's consent, the telepayment server manager archives the operation and sends the telepayment file to the creditor's bank. The telepayment then enters the usual circuit of the direct debit: checks by the creditor's bank, presentation for settlement, then checks by the debtor's bank and interbank settlement (the next business day after the presentation for settlement) or rejection. The advantage of telepayment is that once explicit authorization is given by the debtor via the authorization server, the payment can be very quickly presented for settlement.</w:t>
        <w:br/>
        <w:t>The bill of exchange</w:t>
        <w:br/>
        <w:t>27. As defined by the CFONB (French Committee for Banking Organization and Standardization), “the bill of exchange is a title by which a person called 'the drawer' orders another person called 'the drawee' to pay, on an agreed date, a specified sum, to a 'beneficiary' who is the drawer themselves.” The bill of exchange receipt (LCR) corresponds to the dematerialized form of the traditional bill of exchange.</w:t>
        <w:br/>
        <w:t>28. The operational scheme of the bill of exchange is as follows: the creditor issues an invoice and sends it to the debtor. In parallel, they send the LCR to their own bank in dematerialized form, while indicating the debtor's bank details. The creditor's bank then transmits the LCR to the debtor's bank, which in turn sends the information contained in the LCR to the debtor via a statement. The debtor can then accept or refuse the payment. In case of acceptance, the debtor's bank settles with its counterpart. Otherwise, the bill is rejected. The debtor can also choose to make only a partial payment.</w:t>
      </w:r>
    </w:p>
    <w:p>
      <w:r>
        <w:rPr>
          <w:b/>
        </w:rPr>
        <w:t>[Pages 13–15]</w:t>
      </w:r>
    </w:p>
    <w:p>
      <w:r>
        <w:t>The transfer</w:t>
        <w:br/>
        <w:t>29. The CFONB defines the domestic transfer as follows: "any transfer of funds in euros from a sending account to a beneficiary account, both accounts being held in France and in euros." The following types of transfers can be issued by clients:</w:t>
        <w:br/>
        <w:t>- the ordinary transfer is an operation whereby an account holder, referred to as the order giver, requests their bank to transfer funds from their own account to another account; it is a means of payment on demand;</w:t>
        <w:br/>
        <w:t>- the "E-3" due date transfers (to be exchanged 3 business days before the due date) or "E-2" due date transfers (to be exchanged 2 business days before the due date) are automated transfers settled on a date subsequent to the clearing, which is agreed in advance; unlike the ordinary transfer which is a cash operation, the due date transfer provides for settlement on a future date to also serve as a credit instrument; the creditor's bank informs its client that it has received this order for a future transfer; these due date transfers appeared at the end of the 1980s and were discontinued in the mid-2000s;</w:t>
        <w:br/>
        <w:t>- the foreign origin transfer (VOE) is a transfer issued by a bank located abroad to a bank located in France;</w:t>
        <w:br/>
        <w:t>- the cash transfer (VSOT) is a transfer corresponding to cash operations between companies, particularly for subsidiaries of the same group. This product has disappeared, according to banks, in the mid-2000s.</w:t>
      </w:r>
    </w:p>
    <w:p>
      <w:r>
        <w:t>b) The cases of billing for these means of payment</w:t>
        <w:br/>
        <w:t>30. Each means of payment has its own characteristics and generates interbank fees specific to it.</w:t>
      </w:r>
    </w:p>
    <w:p>
      <w:r>
        <w:t>(i) The cases of billing for debtors</w:t>
        <w:br/>
        <w:t>31. The actual direct debit operations are generally free for debtors. Only large accounts may be charged per operation at levels of a few cents per debit operation, as indicated by an independent financial services consulting firm in its hearing report.</w:t>
        <w:br/>
        <w:t>32. Conversely, some banks charge debtors for setting up direct debits. Thus, UFC-Que Choisir indicated during its hearing that in 2010, while about 40% of banks did not charge for setting up a direct debit, 60% did, with the pricing being around €6. These statements are confirmed by the banks' responses to a questionnaire sent by the investigation services: while banks such as HSBC, BNP Paribas, La Banque Postale, LCL, Crédit du Nord, or Société Générale do not charge for setting up a direct debit, other institutions charge for this service, such as Crédit Mutuel (€9.75 for individuals or professionals, €6.5 for businesses), CIC (€6.5), or some regional branches of Crédit Agricole ([31-39] branches out of 39 charge on average [6-10]€ for individuals, [11-20] charge professionals [6-10]€ on average, [0-10] charge businesses [0-5]€ on average).</w:t>
      </w:r>
    </w:p>
    <w:p>
      <w:r>
        <w:t>33. Furthermore, debtors are generally charged in the event of a direct debit rejection, at least when the rejection results from a lack of funds. The majority of banks apply rejection fees for default or insufficient funds equal to or close to the maximums set by decree no. 2009-934 of July 29, 2009. For example, Société Générale charges rejection fees for direct debits due to insufficient funds equal to the amount of the rejected direct debit, up to a limit of €20 (€10 for clients of the Generis offer, aimed at vulnerable clients). Crédit Mutuel and CIC charge these same rejections at an amount equal to the direct debit amount, up to a limit of €20. Crédit Mutuel and CIC also charge rejections for other reasons to businesses (€12.25), and even to professionals (CIC only, at €13). LCL and Crédit du Nord charge, for rejections due solely to insufficient funds, an amount equivalent to that of the payment up to a limit of €20 for all types of clients. HSBC has a similar policy, except for business and professional debtors for whom the cap is limited to €19. BNP also presents a pricing structure similar to that of LCL, except that direct debits of an amount less than €5 rejected for insufficient funds are not charged to consumer debtors. A majority of Crédit Agricole branches charge rejections at amounts ranging from €11 to €20 depending on the client segment. The majority of popular banks or savings banks charge for rejections. La Banque Postale stands out with reduced fee caps of €10.3.</w:t>
      </w:r>
    </w:p>
    <w:p>
      <w:r>
        <w:t>34. Other charges may occur when, in the case of a direct debit, the bank should have rejected the direct debit for insufficient funds but ultimately authorized it (or "forced" it) after analysis by a customer advisor. In this case, the bank charges an intervention fee. The intervention fee is a "sum collected by the bank due to an operation causing an irregularity in the functioning of the account requiring special treatment (presentation of an irregular payment order, incorrect bank details, absence or insufficiency of funds...)."</w:t>
      </w:r>
    </w:p>
    <w:p>
      <w:r>
        <w:t>35. The amount of intervention fees varies by bank, ranging from €5 to €10. Banks generally set a cap on fees per day and/or per month. The Banking Tariff Observatory calculated that the weighted average of intervention fees reached €8.29 as of July 5, 2011. The amounts at stake are significant. Société Générale indicated that intervention fees on direct debits, TIP, and telepayments represented between €60 and €90 million annually, of which 80-90% were on direct debits, and 10-20% on TIP and telepayments combined. For the regional branches of Crédit Agricole, the revenue from intervention fees on direct debits was estimated at [20-30] million euros. BNP Paribas indicates ranges of [20-40] million euros on direct debits, [0-4] million for TIP, and [0-1] million on telepayment. Other banks provided estimates covering all means of payment (including checks or card transactions).</w:t>
      </w:r>
    </w:p>
    <w:p>
      <w:r>
        <w:t>36. In the event of a direct debit revocation, the majority of banks also charge fees to debtors. Société Générale charges between €10 and €12 for a direct debit revocation depending on the type of client (individuals, professionals, businesses), except for members of a specific Jazz formula. La Banque Postale provides for a charge of €12.8 for individuals but does not charge legal entities in the event of revocation. BNP Paribas, HSBC, LCL, and Crédit Mutuel do not charge individuals for revocations. However, these banks charge all or part of their professional clientele for this service: Crédit Mutuel only charges professionals (€20), HSBC and LCL charge professionals and businesses €10.5 and €13.5 respectively. BNP Paribas provides in its standard conditions for professionals and businesses a charge of about €10 (€9.8 for a revocation made via a remote banking tool, €10.5 for a revocation in the agency). Some Savings Banks and Popular Banks charge for direct debit revocations, between €10 and €15 depending on the bank and client segment. As for CIC and Crédit Agricole, they stand out by not charging any client segment for revocations.</w:t>
      </w:r>
    </w:p>
    <w:p>
      <w:r>
        <w:t>37. Regarding the various charges applied to TIP, the debtor is generally not charged, except for TIPs that required human intervention to be settled, which are then subject to an intervention fee, or the rare TIPs debited from large accounts, which may be charged at a few cents. In the event of a rejection due to insufficient funds, however, most banks have a pricing structure equivalent to that for direct debit rejections.</w:t>
      </w:r>
    </w:p>
    <w:p>
      <w:r>
        <w:t>38. Concerning the pricing of telepayments, membership in telepayment is most often free (only large accounts of Crédit Mutuel-CIC are charged €6.5). The telepayments themselves are not charged, except in special cases involving the collection of an intervention fee. Rejections are generally charged to debtors following the same rules as direct debit rejections. However, it should be noted that Crédit Agricole does not charge debtors in the event of a telepayment rejection, whereas a majority of its branches charge for direct debit rejections.</w:t>
      </w:r>
    </w:p>
    <w:p>
      <w:r>
        <w:t>(ii) The cases of billing for creditors</w:t>
        <w:br/>
        <w:t>39. Creditors are generally charged for each direct debit they issue. For example, clients of CA-CIB (Crédit Agricole group) are charged, according to the bank, an average of €0.118 per interbank direct debit and €0.103 per intrabank direct debit. LCL indicates that the standard rate for a classic direct debit submission at 4 days is €0.39 per operation, while specifying that this rate is likely higher than average. HSBC indicates an average rate for major clients of €0.114 for an interbank direct debit, and €0.11 for an intrabank direct debit. The average rates for direct debits reach €0.18 for Crédit du Nord. BPCE indicates, for its main branches that can distinguish pricing between interbank and intrabank direct debits, average rates for interbank direct debits between €0.10 and €0.14, and for intrabank direct debits between €0 and €0.10. Some branches also practice unique pricing between €0.068 and €0.12. Major clients of La Banque Postale are charged approximately €0.17 on average per direct debit issued, according to the bank. It also seems that more indirect pricing may occur in some cases, similar to movement commissions.</w:t>
      </w:r>
    </w:p>
    <w:p>
      <w:r>
        <w:rPr>
          <w:b/>
        </w:rPr>
        <w:t>[Pages 16–18]</w:t>
      </w:r>
    </w:p>
    <w:p>
      <w:r>
        <w:t>40. Creditors are also generally charged in the event of a direct debit rejection. Most large bank clients are thus generally charged between €0.7 and €1 for rejections, regardless of the reasons.</w:t>
      </w:r>
    </w:p>
    <w:p>
      <w:r>
        <w:t>41. Regarding TIPs, creditors generally pay fees for collected TIPs. Collected TIPs are charged, among other examples, an average of €0.082 by CACIB, €0.13 by HSBC, €0.267 (interbank TIP) or €0.243 (intrabank TIP) by La Banque Postale, and between €0.09 and €0.11 by Crédit Mutuel-CIC. Bred, Natixis, and Crédit Coopératif, the main entities of BPCE for collecting TIPs, charge an average of between €0.08 and €0.10 per TIP. Creditors are also charged in the event of a TIP rejection. The billing amounts vary significantly between clients, but outside of cases of deterrent pricing that can exceed €4, the rates are generally between €0.70 and €1.2.</w:t>
      </w:r>
    </w:p>
    <w:p>
      <w:r>
        <w:t>42. Creditors are also charged per transaction for collections via telepayments. To provide a scale, the average rate for CA-CIB clients reaches €0.142 according to the bank; the rates for Crédit Mutuel-CIC creditors range from €0.12 to €0.2. BPCE indicates, for its main entities, average pricing amounts between €0.10 and €0.26. In addition to the charges for each collection, creditors are also charged for telepayment rejections, at levels similar to those for direct debit rejections.</w:t>
      </w:r>
    </w:p>
    <w:p>
      <w:r>
        <w:t>c) The operations that the studied means of payment may give rise to: AOCT and DRE</w:t>
      </w:r>
    </w:p>
    <w:p>
      <w:r>
        <w:t>43. AOCT, or Annulations d’Opérations Compensées à Tort, are operations for reversing an initial operation issued in error, as explained in the GSIT glossary10 (Group for an Interbank Telecompensation System). This procedure allows for the cancellation of operations erroneously presented to the compensation system and already compensated. AOCTs involve processing not only for the bank issuing the AOCT but also for the other bank involved in the erroneous transaction.</w:t>
      </w:r>
    </w:p>
    <w:p>
      <w:r>
        <w:t>44. The request for restitution of effects, or DRE, is a technical operation carried out in the compensation system following an erroneously executed LCR exchange. It is therefore equivalent to the AOCT operations applicable to other means of payment.</w:t>
      </w:r>
    </w:p>
    <w:p>
      <w:r>
        <w:t>C. THE CONCERNED ACTORS</w:t>
      </w:r>
    </w:p>
    <w:p>
      <w:r>
        <w:t>1. THE BANKING INTERVENERS</w:t>
      </w:r>
    </w:p>
    <w:p>
      <w:r>
        <w:t>45. Remote payment methods are primarily used by businesses and individuals. However, banks play a key role as account holders. In accordance with European law, banking operations are reserved for credit institutions which, before being able to carry out their activities, must be granted a credit institution license by a banking regulatory authority.</w:t>
      </w:r>
    </w:p>
    <w:p>
      <w:r>
        <w:t>46. In France, the definition of banking operations is broad: it covers, in accordance with Article L. 311-1 of the monetary and financial code, "the receipt of funds from the public, credit operations, and the provision to clients or management of means of payment."</w:t>
      </w:r>
    </w:p>
    <w:p>
      <w:r>
        <w:t>47. The following institutions are concerned by this procedure:</w:t>
      </w:r>
    </w:p>
    <w:p>
      <w:r>
        <w:t>a) La Banque de France, hereinafter "BDF"</w:t>
      </w:r>
    </w:p>
    <w:p>
      <w:r>
        <w:t>48. The BDF was created in 1800. Its capital belongs to the State under Article L. 142-1 of the monetary and financial code. A member of the Eurosystem since 1999, it contributes to the preparation and implementation of the single monetary policy of the euro area. As a central bank, it ensures the proper circulation of money, market monitoring, oversight of payment means and systems, and more generally, financial stability. Furthermore, La Banque de France has a commercial activity and holds accounts for large companies and institutions. To a lesser extent, La Banque de France also has individual clients.</w:t>
      </w:r>
    </w:p>
    <w:p>
      <w:r>
        <w:t>b) BNP-Paribas</w:t>
      </w:r>
    </w:p>
    <w:p>
      <w:r>
        <w:t>49. The BNP-Paribas group was formed from the merger between BNP and Paribas in May 2000. In May 2009, it acquired the activities of Fortis in Belgium and Luxembourg, thus becoming a leading player in banking and financial services in Europe. It is also the leading French bank in terms of net banking income. It derived 45% of its revenue from retail banking in 2009.</w:t>
      </w:r>
    </w:p>
    <w:p>
      <w:r>
        <w:t>c) Société Générale</w:t>
      </w:r>
    </w:p>
    <w:p>
      <w:r>
        <w:t>50. Founded in 1864, Société Générale ranks third among large French banks in terms of net banking income. The group relies in France on two complementary distribution networks, the Société Générale branches and those of Crédit du Nord, of which it has held 100% of the capital since 2009. While Société Générale is present in the main banking sectors, retail banking constitutes its primary activity and represents about 50% of its net banking income.</w:t>
      </w:r>
    </w:p>
    <w:p>
      <w:r>
        <w:t>d) Le Crédit du Nord</w:t>
      </w:r>
    </w:p>
    <w:p>
      <w:r>
        <w:t>51. The Crédit du Nord group is a federation of seven regional banks, an asset management company, and a brokerage firm. Société Générale has held 100% of its capital since December 11, 2009.</w:t>
      </w:r>
    </w:p>
    <w:p>
      <w:r>
        <w:t>e) Le Crédit Agricole</w:t>
      </w:r>
    </w:p>
    <w:p>
      <w:r>
        <w:t>52. Crédit Agricole SA is a public limited company serving as the central body of the Crédit Agricole network. It is majority controlled by the regional Crédit Agricole funds.</w:t>
      </w:r>
    </w:p>
    <w:p>
      <w:r>
        <w:t>53. The group is active in the sectors of retail banking, both in France and internationally, specialized financial services (asset management, insurance, private banking, consumer credit, leasing, factoring), as well as financing and investment banking.</w:t>
      </w:r>
    </w:p>
    <w:p>
      <w:r>
        <w:t>54. Crédit Agricole SA acquired Crédit Lyonnais on June 19, 2003.</w:t>
      </w:r>
    </w:p>
    <w:p>
      <w:r>
        <w:t>f) LCL – Le Crédit Lyonnais</w:t>
      </w:r>
    </w:p>
    <w:p>
      <w:r>
        <w:t>55. In 2003, Crédit Lyonnais (renamed LCL in 2005) became a subsidiary of Crédit Agricole SA with over 99% ownership. Operating under its own brand, LCL is a proximity bank in France for individuals, professionals, and businesses, with a strong urban presence. Its banking offer encompasses the entire range of banking products and services, asset management and insurance products, and wealth management.</w:t>
      </w:r>
    </w:p>
    <w:p>
      <w:r>
        <w:t>g) Le groupe BPCE</w:t>
      </w:r>
    </w:p>
    <w:p>
      <w:r>
        <w:t>56. The BPCE Group is the second largest banking group in France.</w:t>
      </w:r>
    </w:p>
    <w:p>
      <w:r>
        <w:t>57. Resulting from the merger between the Banques Populaires and the Caisses d’Epargne, the group engages in all areas of commercial banking and insurance. This group is based on a three-level architecture:</w:t>
        <w:br/>
        <w:t>- the two cooperative networks with the 19 Banques Populaires and the 17 Caisses d’Epargne;</w:t>
        <w:br/>
        <w:t>- the central body with BPCE;</w:t>
        <w:br/>
        <w:t>- the subsidiaries including Natixis, a listed structure that brings together financing and investment banking, savings and financial services, Crédit Foncier, Banque Palatine, and the banks of the BPCE International and Overseas network.</w:t>
      </w:r>
    </w:p>
    <w:p>
      <w:r>
        <w:t>h) HSBC (Hong Kong Shanghai Banking Corp.)</w:t>
      </w:r>
    </w:p>
    <w:p>
      <w:r>
        <w:t>58. HSBC, a company governed by English law with its headquarters in London, is one of the largest banking and financial services groups in the world. Its international network consists of approximately 8,000 branches in 88 countries.</w:t>
      </w:r>
    </w:p>
    <w:p>
      <w:r>
        <w:t>59. HSBC France has grouped since 2000 all the banks of the former Crédit Commercial de France (CCF) group: UBP, Banque Hervet, Banque de Picardie, Banque de Baecque-Beau. Its activities are carried out in network banking, large clientele, asset management and insurance, as well as private banking.</w:t>
      </w:r>
    </w:p>
    <w:p>
      <w:r>
        <w:t>i) La Banque Postale</w:t>
      </w:r>
    </w:p>
    <w:p>
      <w:r>
        <w:t>60. La Banque Postale is a banking subsidiary of the La Poste group, which holds 100% of its capital. Its creation occurred following an agreement concluded between La Poste and the State on January 13, 2004, by changing the name of the company Efiposte, a subsidiary of La Poste that was engaged in the receipt, transmission, and execution of financial orders, and by extending its corporate purpose to banking operations. As of March 1, 2010, La Banque Postale became a public limited company.</w:t>
      </w:r>
    </w:p>
    <w:p>
      <w:r>
        <w:t>61. The La Poste group is active in the sectors of mail, parcels, express services, and financial services.</w:t>
      </w:r>
    </w:p>
    <w:p>
      <w:r>
        <w:t>j) Le Crédit Mutuel</w:t>
      </w:r>
    </w:p>
    <w:p>
      <w:r>
        <w:t>62. Crédit Mutuel is a French mutual bank. The national confederation of Crédit Mutuel, an association governed by the law of July 1, 1901, constitutes the central body of the network.</w:t>
      </w:r>
    </w:p>
    <w:p>
      <w:r>
        <w:rPr>
          <w:b/>
        </w:rPr>
        <w:t>[Pages 19–21]</w:t>
      </w:r>
    </w:p>
    <w:p>
      <w:r>
        <w:t>63. The Crédit Mutuel Group is composed of 18 regional groups (comprising 287 regional banks and 1890 local banks), which hold the capital of the national confederation of Crédit Mutuel.</w:t>
      </w:r>
    </w:p>
    <w:p>
      <w:r>
        <w:t>64. With its subsidiary, Crédit Industriel et Commercial, the Crédit Mutuel group constitutes the second retail bank in France and is active in the banking and insurance sector.</w:t>
      </w:r>
    </w:p>
    <w:p>
      <w:r>
        <w:t>k) Crédit Industriel et Commercial (CIC)</w:t>
      </w:r>
    </w:p>
    <w:p>
      <w:r>
        <w:t>65. Crédit Industriel et Commercial (hereinafter CIC), established in 1859, is a grouping of seven regional banks. Crédit Mutuel, which acquired 67% of CIC's capital in 1998, became its sole shareholder in 2001.</w:t>
      </w:r>
    </w:p>
    <w:p>
      <w:r>
        <w:t>l) French banking associations: AFB and FBF</w:t>
      </w:r>
    </w:p>
    <w:p>
      <w:r>
        <w:t>66. The French Banking Association, or "AFB," (then "APB": professional association of banks) was created in July 1941 under law no. 2352 of June 13, 1941, relating to the regulation and organization of the banking profession. It took the name French Banking Association in 1976. The AFB only represents commercial banks and not mutual or cooperative institutions. According to Article 2 of its statutes, the AFB has the following objectives:</w:t>
        <w:br/>
        <w:t>- to represent its members with third parties in areas of its competence;</w:t>
        <w:br/>
        <w:t>- to intervene in court in any proceedings where it or one of its members is involved or when the general interests of its members are at stake;</w:t>
        <w:br/>
        <w:t>- to amicably assist in the resolution of disputes that may arise between its members (...).</w:t>
      </w:r>
    </w:p>
    <w:p>
      <w:r>
        <w:t>67. The banking profession decided in 2000 to create a new professional organization common to AFB banks and cooperative and mutual networks to represent and defend the positions of all banking institutions present in France, regardless of their status. The missions of the professional organization of the banking sector, previously ensured by the AFB, have been divided: the French Banking Federation (FBF) takes on all the missions of a professional organization - external relations, study and analysis of banking issues for all banking networks; the AFB continues to fulfill a role as an employers' union.</w:t>
      </w:r>
    </w:p>
    <w:p>
      <w:r>
        <w:t>2. NON-BANK INTERVENERS: USERS OF PAYMENT MEANS, DEBTORS AND CREDITORS</w:t>
      </w:r>
    </w:p>
    <w:p>
      <w:r>
        <w:t>68. Payments have the particularity of bringing together two categories of actors: debtors and creditors. This remains true in the case of remote payments for which direct debit, TIP, telepayment, or bill of exchange may be used.</w:t>
      </w:r>
    </w:p>
    <w:p>
      <w:r>
        <w:t>69. Debtors using these means of payment include both individuals and professionals. Indeed, individuals, in the context of their private lives, regularly use these means of payment for the payment, for example, of services from their gas or electricity supplier, their telephone operator (landline or mobile), or for the payment of their taxes. Professionals, in the exercise of their activity, also regularly use these means of payment for the payment of their various service providers and their social and tax debts.</w:t>
      </w:r>
    </w:p>
    <w:p>
      <w:r>
        <w:t>70. Creditors using these means of payment include large companies supplying electricity or gas, telephone operators (landline or mobile), social organizations, and the State itself. However, there is a particular category of merchants who are not part of the creditor users due to the specificity of the payment means concerned. Indeed, generally speaking, direct debit, telepayment, and TIP are suited for payments for services that do not require the simultaneous physical presence of the creditor and the debtor. More specifically, direct debit is suited for recurring payments. These specificities therefore exclude certain merchants, particularly traditional distribution channels, from the category of creditor users of the payment means subject to this file.</w:t>
      </w:r>
    </w:p>
    <w:p>
      <w:r>
        <w:t>D. THE EUROPEAN CONTEXT OF SEPA</w:t>
      </w:r>
    </w:p>
    <w:p>
      <w:r>
        <w:t>71. The present case is set within the context of establishing a single euro payments area.</w:t>
      </w:r>
    </w:p>
    <w:p>
      <w:r>
        <w:t>72. The SEPA project (Single Euro Payments Area - Espace unique de paiement en euros) is a European project that follows the transition to euro coins and banknotes. The ambition is to create a unique range of payment means in euros, common to all European countries, so that consumers, businesses, merchants, and administrations can make payments under the same conditions throughout the European area, as easily as in their home country. The European Council and Parliament adopted on November 13, 2007, the directive on payment services which harmonizes the legal framework for payment services and thus facilitates the establishment of SEPA instruments.</w:t>
      </w:r>
    </w:p>
    <w:p>
      <w:r>
        <w:t>73. The SEPA area includes the member states of the European Union as well as Iceland, Liechtenstein, Norway, and Switzerland.</w:t>
      </w:r>
    </w:p>
    <w:p>
      <w:r>
        <w:t>1. THE RANGE OF PAYMENT MEANS</w:t>
      </w:r>
    </w:p>
    <w:p>
      <w:r>
        <w:t>74. The SEPA project aims to establish a unique range of scriptural payment instruments (transfer, direct debit, cards). Thus, businesses will be able to issue and receive payments in euros throughout the SEPA area, using the same payment means, payment cycles, level of security, and processing as in their home countries.</w:t>
      </w:r>
    </w:p>
    <w:p>
      <w:r>
        <w:t>75. Transfers and direct debits are intended to migrate respectively to the following SEPA instruments: SCT (SEPA transfer) and SDD (SEPA direct debit). As for payment cards, they are expected to be compatible with a harmonized framework, the SEPA Card Framework.</w:t>
      </w:r>
    </w:p>
    <w:p>
      <w:r>
        <w:t>76. Thus, since November 2010, two direct debit payment systems coexist in France:</w:t>
        <w:br/>
        <w:t>- the national direct debit which incurs an interchange fee of €0.122 for ordinary direct debit (€0.182 for the accelerated direct debit, marginally used), and</w:t>
        <w:br/>
        <w:t>- the SEPA direct debit for which the domestic interchange fee is currently €0.122 and the cross-border fee is €0.088.</w:t>
      </w:r>
    </w:p>
    <w:p>
      <w:r>
        <w:t>2. THE TIMELINE</w:t>
      </w:r>
    </w:p>
    <w:p>
      <w:r>
        <w:t>77. The migration of national systems to a pan-European SEPA system began in 2008 with the introduction of the SEPA transfer and continued in 2010 with the SEPA direct debit.</w:t>
      </w:r>
    </w:p>
    <w:p>
      <w:r>
        <w:t>beginning of 2004 mid-2006 beginning of 2008 2014</w:t>
        <w:br/>
        <w:t>Design Phase Preparation Phase Migration Phase Generalization Phase</w:t>
        <w:br/>
        <w:t>of SEPA payment means</w:t>
      </w:r>
    </w:p>
    <w:p>
      <w:r>
        <w:t>78. Regulation "end dates" no. 260/2012 provides for the end of the migration of national direct debit and transfer systems to the pan-European SEPA systems as follows:</w:t>
        <w:br/>
        <w:t>- by February 1, 2014, disappearance of national transfers in favor of the SEPA transfer;</w:t>
        <w:br/>
        <w:t>- by February 1, 2014, disappearance of national direct debits in favor of the SEPA direct debit;</w:t>
        <w:br/>
        <w:t>- by February 1, 2016, disappearance of "niche" products (TIP and telepayment concerning France).</w:t>
      </w:r>
    </w:p>
    <w:p>
      <w:r>
        <w:t>3. MULTILATERAL INTERCHANGE FEES ASSOCIATED WITH THESE PAYMENT MEANS</w:t>
      </w:r>
    </w:p>
    <w:p>
      <w:r>
        <w:t>79. Regulation (EC) no. 924/2009 of the European Parliament and Council of September 16, 2009, concerning cross-border payments in the Community has provided for measures likely to contribute to the success of SEPA.</w:t>
      </w:r>
    </w:p>
    <w:p>
      <w:r>
        <w:t>80. In order to facilitate the migration to SEPA instruments for payment service providers, the regulation temporarily accepted a multilateral interchange fee (MIF) applicable to cross-border SEPA direct debits and set its maximum amount at €0.088, unless a lower MIF has been agreed upon between the concerned payment service providers.</w:t>
      </w:r>
    </w:p>
    <w:p>
      <w:r>
        <w:t>81. Currently in Europe, the direct debit systems of 21 of the 27 EU member states operate without an MIF per transaction. More than two-thirds of direct debit operations</w:t>
      </w:r>
    </w:p>
    <w:p>
      <w:r>
        <w:rPr>
          <w:b/>
        </w:rPr>
        <w:t>[Pages 22–24]</w:t>
      </w:r>
    </w:p>
    <w:p>
      <w:r>
        <w:t>unless a lower MCI has been agreed upon between the concerned payment service providers.</w:t>
      </w:r>
    </w:p>
    <w:p>
      <w:r>
        <w:t>81. Currently in Europe, the direct debit systems of 21 of the 27 EU member states operate without MCI per transaction. More than two-thirds of direct debit transactions in the EU are thus executed without MCI per transaction11. A working document from the European Commission from 200912 indicates that domestic interchange commissions per transaction still exist in six member states of the European Union: in Belgium (2 cents per transaction), in Spain (less than 3 cents), in Sweden (11 cents), in France (12.2 cents), in Portugal (23 cents), and in Italy (25 cents). France thus remains, to this day, the third EU member state with the highest multilateral commissions on direct debits in Europe. MCIs per transaction R (transactions that could not be executed correctly, particularly rejections) exist in five eurozone countries, including two where MCIs per transaction are also applied.</w:t>
      </w:r>
    </w:p>
    <w:p>
      <w:r>
        <w:t>82. Regulation (EU) No. 260/2012 of March 14, 2012, establishing technical and commercial requirements for euro transfers and direct debits and amending Regulation (EC) No. 924/2009 has clarified the legal framework applicable to these multilateral interchange commissions.</w:t>
      </w:r>
    </w:p>
    <w:p>
      <w:r>
        <w:t>83. Recital 20 of this Regulation No. 260/2012 (also referred to as the "end dates" regulation) specifies in this regard that “[i]t is important to ensure legal certainty in the payments sector regarding business models related to direct debits. It is essential to regulate multilateral interchange commissions (MICs) for direct debits to ensure neutral competitive conditions among payment service providers, thereby allowing the development of a single market for direct debits.”13 (emphasis added).</w:t>
      </w:r>
    </w:p>
    <w:p>
      <w:r>
        <w:t>84. Thus, the regulation provides for the definitive elimination of systematic interbank commissions (Article 6 of Regulation No. 260/2012) no later than February 1, 2017, for domestic direct debits, and no later than November 1, 2012, for cross-border direct debits.</w:t>
      </w:r>
    </w:p>
    <w:p>
      <w:r>
        <w:t>85. Article 8-1 of the aforementioned regulation thus provides that no multilateral interchange commission charged per direct debit transaction nor any other agreed remuneration having an equivalent object or effect is applied to direct debit transactions.</w:t>
      </w:r>
    </w:p>
    <w:p>
      <w:r>
        <w:t>86. On the other hand, Article 8-2 conditions the validity of commissions on R transactions (also referred to in this case as "exceptional commissions") on compliance with several criteria:</w:t>
        <w:br/>
        <w:t>“a) the arrangement aims to effectively allocate costs to the payment service provider that caused the R transaction, or to the payment service provider whose payment service user caused said transaction, (...);</w:t>
        <w:br/>
        <w:t>b) the commissions are strictly based on costs;</w:t>
        <w:br/>
        <w:t>c) the level of the commissions does not exceed the actual cost of processing an R transaction by the payment service provider presenting the best cost-effectiveness ratio among the representative parties to the arrangement having comparable activity in terms of transaction volume and the nature of the services;</w:t>
        <w:br/>
        <w:t>d) provided that commissions are applied in accordance with points a), b), and c), the payment service providers do not charge their respective payment service users any other commission related to the costs covered by these interchange commissions.”</w:t>
      </w:r>
    </w:p>
    <w:p>
      <w:r>
        <w:t>E. THE CONCERNED BEHAVIORS</w:t>
        <w:br/>
        <w:t>1. THE PRINCIPLE OF MULTILATERAL INTERBANK COMMISSIONS</w:t>
        <w:br/>
        <w:t>87. In France, all so-called debit account transactions are subject to multilateral interbank commissions, also known as interchange commissions. Two types of interbank commissions may exist: interbank commissions per transaction, applied to each transaction, and interbank commissions applied only to exceptional transactions (commissions for rejection - due to insufficient funds, non-existent account, etc. - and AOCT-DRE commissions). In both cases, the amount of these commissions is jointly decided by the banks.</w:t>
      </w:r>
    </w:p>
    <w:p>
      <w:r>
        <w:t>88. Commissions are systematically paid by the creditor banks to the debtor banks, with the exception of AOCT commissions which may be paid by both categories of banks and commissions on transfers paid by debtor banks to beneficiary banks.</w:t>
      </w:r>
    </w:p>
    <w:p>
      <w:r>
        <w:t>2. HISTORY OF THESE COMMISSIONS</w:t>
        <w:br/>
        <w:t>89. The observed behaviors are based on often long-standing decisions. By way of illustration, the table below lists the various interbank commissions from their date of creation:</w:t>
      </w:r>
    </w:p>
    <w:p>
      <w:r>
        <w:t>90. Generally, interbank commissions per transaction have been defined concurrently with the establishment of the relevant payment methods. These commissions have been, for some, revised, and always upwards (in current euros), as illustrated by the table below:</w:t>
        <w:br/>
        <w:t>Interbank Commission Creation Revisions Current Level</w:t>
        <w:br/>
        <w:t>Direct debit notice 1975 (0.60F), 1978 (0.67F),</w:t>
        <w:br/>
        <w:t>ordinary 1969: 0.25 F 1993 (0.75F), 1995 (0.80F) 0.122 € (0.80F)</w:t>
        <w:br/>
        <w:t>Accelerated direct debit notice 1985 at the latest: 1.10 F 1994 (1.20 F) 0.183 € (1.20F)</w:t>
        <w:br/>
        <w:t>TIP 1988: 0.45 F 1996 (0.50 F) 0.076 € (0.50F)</w:t>
        <w:br/>
        <w:t>Cash TIP 1988: 1.80 F 1996 (2.80 F) 0.43 € (2.80F)</w:t>
        <w:br/>
        <w:t>Telepayment 1997: 0.90 F / 0.137 € (0.90F)</w:t>
        <w:br/>
        <w:t>LCR 1973: 0.80 F / 0.122 € (0.80F)</w:t>
        <w:br/>
        <w:t>VOE 1994: 10 F 1995 (12 F) 1.829 € (12F)</w:t>
        <w:br/>
        <w:t>Direct debit rejection, TIP, 1972 at the latest: 2.50 F 1976 (4 F), 1994 (5 F) 0.762 € (5F)</w:t>
        <w:br/>
        <w:t>AOCT 1979: 4 F / 0.61 € (4F)</w:t>
        <w:br/>
        <w:t>DRE 1994: 4 F / 0.61 € (4F)</w:t>
      </w:r>
    </w:p>
    <w:p>
      <w:r>
        <w:rPr>
          <w:b/>
        </w:rPr>
        <w:t>[Pages 25–27]</w:t>
      </w:r>
    </w:p>
    <w:p>
      <w:r>
        <w:t>3. THE CIRCUMSTANCES OF THE CREATION OF INTERBANK COMMISSIONS</w:t>
        <w:br/>
        <w:t>91. The banks explain that they have coordinated to jointly set commissions that "constitute one of the cornerstones of the interoperability of the French system." According to BPCE, "interbanking in France allows all banking players to participate, under equivalent conditions, in the various payment systems and to offer access to their clients. The differentiation of commissions could limit interbanking, as it would lead to only large debtor banks being able to negotiate acceptable remuneration conditions, ultimately excluding smaller debtor banks from the direct debit system, which would not be desirable."</w:t>
      </w:r>
    </w:p>
    <w:p>
      <w:r>
        <w:t>92. According to CASA LCL, the CIR was the forum for consultation that set interbank pricing between banks and decided on the creation of new payment instruments. The elements of the file allow us to affirm that this consultation was organized in two stages. First, the banks met within working groups under the authority of the CFONB to assess the relevance of creating payment methods and correspondingly their pricing conditions. Secondly, these preparatory works were presented within the CIR, the body competent to set interbank exchange conditions.</w:t>
      </w:r>
    </w:p>
    <w:p>
      <w:r>
        <w:t>a) The working groups of the CFONB</w:t>
        <w:br/>
        <w:t>93. In a report dated December 20, 2011, Mr. Yvon X..., currently director of payment systems and market infrastructures at the Banque de France, and who has previously participated in discussions within the CIR, indicated that working groups, placed under the authority of the CFONB, were tasked with defining "the principles and functioning of payment methods in banking circuits." According to Mr. X..., "all major payment methods have a working group led by representatives from banks or the Banque de France, all different." For example, the Banque de France is in charge of one of these committees, "regulation and compliance."</w:t>
      </w:r>
    </w:p>
    <w:p>
      <w:r>
        <w:t>94. The documents submitted to the file allow us to distinguish at least six working groups, not all of which are necessarily active today:</w:t>
        <w:br/>
        <w:t>- a working group "compensation computer," led by Mr. Y...;</w:t>
        <w:br/>
        <w:t>- a working group "transfer" led by Mr. Z..., responsible within the AFB for payment methods. This group also included a subgroup - "treasury transfer";</w:t>
        <w:br/>
        <w:t>- a working group "debit notice" and "TIP" led by Mr. A...;</w:t>
        <w:br/>
        <w:t>- a working group on "the rules for the evolution of commissions and harmonization of existing products and those to be created," led by Mr. B...;</w:t>
        <w:br/>
        <w:t>- a working group "TELETIP" led by Mr. B....</w:t>
      </w:r>
    </w:p>
    <w:p>
      <w:r>
        <w:t>95. The minutes of the meeting of September 12, 1985, of the "transfer" working group specify the mission of these working groups, namely "to design a new product, its functionalities, and assess its technical feasibility." It emerges from the elements of the file that the commercial departments of the banks were also closely associated with the discussions held within these groups, as evidenced by the minutes of September 12, 1985: "After consulting with their Commercial Direction, the members of the working group, during a roundtable, share the observations thus collected."</w:t>
      </w:r>
    </w:p>
    <w:p>
      <w:r>
        <w:t>96. Interbank pricing for payment methods was the subject of discussions within these working groups. Thus, in a meeting report dated July 8, 1971, on the functioning of the Compensation Computer, it is noted that "the question of the pricing of debit notice exchanges via the Compensation Computer had arisen. The Technical Commission of Banking Conditions of the APB had then proposed that the commission applicable to clients regarding debit notices on magnetic tapes (at that time 0.50 F) be split equally between the presenting bank and the receiving bank of the debit notices at the Compensation Computer." Similarly, within the "transfer" working group, it is specified that proposals for the creation of term transfers, with a commission paid to the receiving banker (thus the beneficiary) of 0.90 or 0.60 F depending on the time between interbank exchange and maturity, will be submitted to the CIR.</w:t>
      </w:r>
    </w:p>
    <w:p>
      <w:r>
        <w:t>97. Thus, the working groups were also tasked with carrying out preparatory work formalized in "a report addressed to the members of the Commission." The minutes of the CIR meeting of June 30, 1992, indicate in this regard that "it was agreed that the inter-network commission would meet at the end of September to hear the progress report from the working group and provide it with guidance. It would then meet in November for the final report and decisions."</w:t>
      </w:r>
    </w:p>
    <w:p>
      <w:r>
        <w:t>98. The minutes of the meeting of September 12, 1985, of the transfer working group specify that "it is now up to a commercial policy body to pursue the second stage: assessment of commercial feasibility. Mr. Z... proposes to refer to the Inter-Network Commission, summarizing the above observations, so that it can decide on the opportunity to launch this product and, if necessary, set the interbank conditions."</w:t>
      </w:r>
    </w:p>
    <w:p>
      <w:r>
        <w:t>99. According to Mr. X..., these working groups met quite frequently and still meet today under the auspices of the CFONB. The "transfer" group, in particular, has met several times at the AFB.</w:t>
      </w:r>
    </w:p>
    <w:p>
      <w:r>
        <w:t>b) The inter-network commission (or "CIR")</w:t>
        <w:br/>
        <w:t>100. According to the Banque de France, the CIR is an "ad hoc body, not attached to a specific institution," "bringing together the main establishments of the Place and the Banque de France." This commission was initially chaired by Mr. C..., IT manager of BNP and GSIT, during the 1980s. The secretariat of this commission was long managed by a BNP collaborator, usually Mr. B.... However, its composition could evolve based on reorganizations within the banking profession. According to the AFB, "they could occasionally participate in these meetings (...) as observers, to be informed of exchanges between banks on technical subjects or new processing versions."</w:t>
      </w:r>
    </w:p>
    <w:p>
      <w:r>
        <w:t>101. From October 1987, Mr. Pierre D..., then general director of Crédit du Nord, succeeded Mr. C... and chaired the CIR. Mr. D... stated that he "chaired the Inter-Network Commission until 2002 and left these functions after the transition to the euro."</w:t>
      </w:r>
    </w:p>
    <w:p>
      <w:r>
        <w:t>102. Generally, the names of this commission reveal the existence of a consultation on the conditions of interbank pricing (level of interbank commissions and time between exchange and interbank settlement). Indeed, this commission is also commonly referred to as "the commission responsible for conditions between banks" or "interbank conditions."</w:t>
      </w:r>
    </w:p>
    <w:p>
      <w:r>
        <w:t>103. It emerges from the minutes of September 12, 1985, that the mission of the CIR was twofold: "to decide on the opportunity to launch a new product and, if necessary, to set the interbank conditions."</w:t>
      </w:r>
    </w:p>
    <w:p>
      <w:r>
        <w:t>104. The minutes of the meeting of April 15, 1986, confirm this dual mission: during this meeting, "the Inter-Network Commission decides:</w:t>
        <w:br/>
        <w:t>- the creation of term transfers,</w:t>
        <w:br/>
        <w:t>- the setting of the commission paid by the ordering bank to the receiving bank at: F 0.60 H.T. for transfers exchanged at E-3, F 0.90 H.T. for transfers exchanged at E-2."</w:t>
      </w:r>
    </w:p>
    <w:p>
      <w:r>
        <w:t>105. Similarly, the minutes of the CIR meetings of July 11, 1991, and 1994 set the interbank conditions for the specific treasury-oriented transfer (VSOT) and the external origin transfer, net of fees (VOE-VNF). Furthermore, on October 17, 1987, the minutes of the CIR specify that the commission met to examine the following points: "possible modifications, starting from February 1, 1988, of the conditions between banks for TIPs paid by account debit, namely:</w:t>
        <w:br/>
        <w:t>- reduction from 2 to 1 business day of the anticipation period,</w:t>
        <w:br/>
        <w:t>- reduction of the domiciliation commission paid by the presenting banker to the domiciliary banker;</w:t>
        <w:br/>
        <w:t>- establishment of a commission paid by the ordering banker to the receiving banker for all automated transfers."</w:t>
      </w:r>
    </w:p>
    <w:p>
      <w:r>
        <w:rPr>
          <w:b/>
        </w:rPr>
        <w:t>[Pages 28–30]</w:t>
      </w:r>
    </w:p>
    <w:p>
      <w:r>
        <w:t>106. The CIR was, in the same vein, also tasked with reviewing the level of interbank commissions. The record of decisions made by the CIR on December 7, 1987, specifies that "it is agreed that six months before the expiration of this two-year period, the Inter-Network Commission will meet to decide whether or not to modify the level of this commission"40. An example of a commission revision dates back to 1992: during the meeting on June 30, 1992, the CIR decided to raise the commission on direct debit notices to 4 days from 0.67 to 0.75 F effective January 1, 199341. Similarly, on March 29, 1993, the CIR decided to increase the commission on accelerated direct debit notices to 1.20 F effective January 1, 1994, as well as the commission on TIP from 0.45 to 0.50 F effective January 1, 199642.</w:t>
      </w:r>
    </w:p>
    <w:p>
      <w:r>
        <w:t>107. All meeting minutes were then distributed to the members of the CIR. Aside from the Banque de France, the banks present at these meetings reported not having found copies of these minutes.</w:t>
      </w:r>
    </w:p>
    <w:p>
      <w:r>
        <w:t>4. THE JOINT SETTING OF INTERBANK CONDITIONS, AND IN PARTICULAR INTERBANK COMMISSIONS</w:t>
      </w:r>
    </w:p>
    <w:p>
      <w:r>
        <w:t>108. It emerges from the report of the "Transfer" working group of February 198743 that the banks committed "not to favor bilateral agreements in order to preserve the interbank nature of exchanges." While the Banque de France asserts that bilateral commission systems are "theoretically possible"44, it considers that they can have "a pernicious impact on competition, in the sense of excluding smaller institutions. Indeed, larger institutions could be tempted to demand high pricing for payments collected by small banks, and to request to pay only reduced prices for the collections they present themselves in compensation"45. Thus, the current system of multilateral interbank commissions would allow for correcting the alleged imbalance between banks by placing them in a position of equality. Broken down by payment method, the elements submitted to the file allow for isolating about ten interbank commissions jointly set by banks, professional organizations, and the Banque de France, commissions that are also systematically applied. These agreements are highlighted by the minutes of the working groups and the CIR that report on discussions regarding the joint setting of these commissions.</w:t>
      </w:r>
    </w:p>
    <w:p>
      <w:r>
        <w:t>a) The interbank commission on direct debit</w:t>
      </w:r>
    </w:p>
    <w:p>
      <w:r>
        <w:t>109. The elements46 submitted to the file establish the existence of an interbank commission on direct debit amounting to 0.25 F set by the technical commissions of the APB in July 1969. This is evident from a letter dated July 21, 1971, in which the representative of the "clearing computer" working group informs the secretary general of the APB that "when the Convention and the Internal Regulation concerning the Clearing Computer were established in July 1969, the applicable rate was 0.50 F per direct debit notice submitted by a client to their bank, when this submission was made on magnetic tape. The Technical Commissions of the A.P.B. that set this amount to be paid by the client also decided that this price would be provisionally split equally between the bank receiving the client's submission and the recipient bank that performs the debit"47. It should be noted in particular that this passage indicates that the "technical commissions of the APB" set, in addition to interbank commissions, the amount of the customer commission, namely the amount paid by the creditor themselves to their own bank. The Internal Regulation of the Clearing Computer at that time provided that "any exchange of direct debit notices gives rise to a unit remuneration of 0.25 F to which is added the amount of the recovery of the tax on financial activities, paid by the presenting participant to the receiving participant"48.</w:t>
      </w:r>
    </w:p>
    <w:p>
      <w:r>
        <w:t>110. In July 1971, discussions among banks focused on a possible increase in the commission paid by the creditor's bank to the debtor's bank. These discussions were motivated primarily by two reasons: first, the fact that "on January 11, 1971, a new pricing for direct debit notices: 0.70 F to be paid by the client, per notice submitted on magnetic tape, came into effect following a decision by the Technical Commissions" and secondly, the fact that studies likely internal to the banks would have shown to certain institutions that the distribution of processing costs between banks is not balanced, but rather that the debtor's bank bears a proportion of the costs of "75 to 90%"49. Aside from what concerns only interbank commissions, it can be noted that this passage mentions the setting of a pricing for direct debit notices for bank clients, which was 0.70 F in this case.</w:t>
      </w:r>
    </w:p>
    <w:p>
      <w:r>
        <w:t>111. It is difficult to know whether these discussions led to any conclusions. The documents submitted to the file allow for knowing the amount of the interbank commission on direct debit operations from December 1975. At that date, a letter from the APB mentions a "uniform increase to 0.60 F (excluding tax) of the rebate paid to the collecting banker of a direct debit notice presented to the clearing computer"50.</w:t>
      </w:r>
    </w:p>
    <w:p>
      <w:r>
        <w:t>112. The Banque de France asserts that the interbank commission on direct debits was re-evaluated in 1978 to 0.67 F. This fact is confirmed in the minutes of the CIR meeting on July 11, 1991: "Mr. D... recalls that the commission of 0.67 F excluding tax for direct debit notices at 4 days was set in 1978"51. Crédit Agricole also noted during the CIR meeting on June 30, 1992, that this amount corresponded at that time to "two-thirds of an amount of 1 F which was then that of the postage stamp"52.</w:t>
      </w:r>
    </w:p>
    <w:p>
      <w:r>
        <w:t>113. This commission was then revalued to 0.75 F effective January 1, 1993. Indeed, the minutes of the CIR meeting on June 30, 1992, specify that "the interbank commission for direct debit notices at 4 days is raised from 0.67 F to 0.75 F effective January 1, 1993"53. The minutes of the CIR on March 29, 1993, state that the level of this commission is only a "step" and continues by specifying that "a specific commission exists for the rejections of EDF direct debit notices. The Commission decides that from January 1, 1994, this specific commission will be abolished and that the standard rate will now apply to the rejections of EDF direct debits"54. During this same meeting, the CIR decided to raise the commission on accelerated direct debit notices to 1.20 F effective January 1, 1994.</w:t>
      </w:r>
    </w:p>
    <w:p>
      <w:r>
        <w:t>114. As indicated in the minutes of the CIR meeting on March 29, 1993, the commission on operations for direct debits at 4 days was raised to 0.80 F in 199555. This amount has not changed since. It was converted to 0.122 € at the time of the transition to the euro.</w:t>
      </w:r>
    </w:p>
    <w:p>
      <w:r>
        <w:t>115. The interbank commission on accelerated direct debit notices was created no later than 1985 and set at 1.10 F. It was raised to 1.20 F in 1994, then converted to 0.183 € at the time of the transition to the euro and has remained unchanged since.</w:t>
      </w:r>
    </w:p>
    <w:p>
      <w:r>
        <w:t>116. It should be noted that the only operations that do not give rise to an interchange commission are the monthly direct debits initiated by the public treasury. Under the law of June 29, 1971, establishing a monthly payment system for income tax and Article 1681D of the General Tax Code, these operations incur "no cost for the taxpayer." In practice, this implies that the public treasury is exempt from the interbank commission on direct debits for the monthly payment of income tax. HSBC, in its response to a questionnaire, confirms that the 4-day direct debits (code 180) and the rejections of direct debits (code 580) from the Public Treasury are not subject to interbank commission56.</w:t>
      </w:r>
    </w:p>
    <w:p>
      <w:r>
        <w:t>b) The interbank commission on telepayment</w:t>
      </w:r>
    </w:p>
    <w:p>
      <w:r>
        <w:t>117. According to CASA LCL57, CNCE58, and the Banque de France59, the interbank commission on telepayment was created in 1997. Its amount was set at 0.90 F, then converted to 0.137 € at the time of the transition to the euro and has remained unchanged since.</w:t>
      </w:r>
    </w:p>
    <w:p>
      <w:r>
        <w:t>c) The interbank commission on the electronic payment title "TEP"</w:t>
      </w:r>
    </w:p>
    <w:p>
      <w:r>
        <w:t>118. The minutes of the CIR on March 29, 1993, indicate that it "created an ordinary TEP and an accelerated TEP under the same conditions of deadlines and commissions as the ordinary Direct Debit Notice and the Accelerated Direct Debit Notice"60.</w:t>
      </w:r>
    </w:p>
    <w:p>
      <w:r>
        <w:t>119. During this same meeting61, the CIR decided to raise: "effective January 1, 1994, the commission on accelerated direct debit notices to 1.20 F and that the accelerated TEP will bear the same commission as the accelerated AP" and to set at "0.75 F to 0.80 F on January 1, 1995" the commission on ordinary AP and TEP.</w:t>
      </w:r>
    </w:p>
    <w:p>
      <w:r>
        <w:t>120. According to the CFONB62, the accelerated TEP was replaced by telepayment in October 1997. The ordinary TEP disappeared in 2002.</w:t>
      </w:r>
    </w:p>
    <w:p>
      <w:r>
        <w:rPr>
          <w:b/>
        </w:rPr>
        <w:t>[Pages 31–33]</w:t>
      </w:r>
    </w:p>
    <w:p>
      <w:r>
        <w:t>d) The interbank commission on the interbank payment title "TIP"</w:t>
      </w:r>
    </w:p>
    <w:p>
      <w:r>
        <w:t>121. According to the Banque de France, CASA63, and Crédit Mutuel CIC, the TIP replaced the TUP (Universal Payment Title) on February 1, 198864.</w:t>
      </w:r>
    </w:p>
    <w:p>
      <w:r>
        <w:t>122. On October 9, 1987, while banks were considering an interbank commission of 0.90 F and a delay of 2 working days between interbank exchange and settlement, the CIR met to modify the interbank conditions of the TIP and reduce "the anticipation period from 2 to 1 working day" and reduce "the domiciliation commission paid by the presenting bank to the domiciliary bank"65. The minutes of this meeting indicate: "A first round of discussions on the anticipation period revealed a near-unanimity on the reduction of one day; only Crédit Agricole, arguing its organization, confirmed its internal reservations without being blocking. The debate was much more heated on the setting of the interbank commission, and by coupling the 2 proposals (reduction of the anticipation period and interbank commission), the expressed opinions were distributed as follows: (...) After a final exchange of views and given the urgency since it is desirable that this additional measure comes into effect with the implementation of the TIP scheduled for February 1, 1988, Mr. D..., arguing the stakes of the file and despite the absence of unanimity, established the following financial and technical conditions of the TIP:</w:t>
      </w:r>
    </w:p>
    <w:p>
      <w:r>
        <w:t>123. In 1996, the commission on TIP increased from 0.45 F to 0.50 F. The meeting of March 29, 1993, reported the following discussions: "The participants agreed to consider that the amount of the interbank commission on the TIP is intended, in the long term, not to remain as low and as far from the accelerated AP as it currently is"66. This amount was converted to 0.076 € at the time of the transition to the euro and has remained unchanged since.</w:t>
      </w:r>
    </w:p>
    <w:p>
      <w:r>
        <w:t>124. For TIPs paid in cash at post offices, also created in 1988, the CIR decided that "the creditor's bank pays La Poste a commission of F 1.80 per TIP, which is added to the fees paid by the debtor"67. The CIR also agreed on December 15, 1994, for this commission to be increased to F 2.80 as of January 1, 1996: "The Commission agrees that the amount of the commission paid by the creditor banks to La Poste for each TIP paid in cash shall be increased as of January 1, 1996, to F 2.80 excluding tax."</w:t>
      </w:r>
    </w:p>
    <w:p>
      <w:r>
        <w:t>e) The interbank commission on the cancellation of erroneously compensated operations "AOCT"</w:t>
      </w:r>
    </w:p>
    <w:p>
      <w:r>
        <w:t>125. The commission on AOCT for means of payment other than card and check was created in 1979, according to the CNCE68. The Banque de France specifies that its amount was then 4 F. According to Crédit Mutuel and CIC, the AOCT procedure underwent two revisions, on September 24, 1985, and September 3, 199169. The AOCT commission was converted to 0.610 € at the time of the transition to the euro, an amount that has remained unchanged since.</w:t>
      </w:r>
    </w:p>
    <w:p>
      <w:r>
        <w:t>f) The interbank commission on the bill of exchange "LCR"</w:t>
      </w:r>
    </w:p>
    <w:p>
      <w:r>
        <w:t>126. The CNCE70 and the Banque de France71 state that the commission on the LCR was created in 1973. This is also confirmed by a letter from the APB to the Secretary General of the Banque de France dated November 22, 1972. Initially set at 0.80 F, the amount of the commission on LCRs was converted to 0.122 € at the time of the transition to the euro and has remained unchanged since.</w:t>
      </w:r>
    </w:p>
    <w:p>
      <w:r>
        <w:t>g) The interbank commission on the request for restitution of commercial paper "DRE"</w:t>
      </w:r>
    </w:p>
    <w:p>
      <w:r>
        <w:t>127. The request for restitution of commercial paper is an operation exchanged in the compensation system following an erroneous exchange of LCR. For technical reasons, it is a non-accounting operation, but it serves the same function as the cancellations of erroneously compensated operations that exist for transfers, direct debits, and ATM withdrawals. The CIR thus decided on December 2, 1994, that "in accordance with the proposal of the working group, from their creation, DREs will give rise to the payment by the issuing bank to the receiving bank of the same commission that exists for AOCT, currently F 4 excluding tax"72.</w:t>
      </w:r>
    </w:p>
    <w:p>
      <w:r>
        <w:t>128. The Banque de France specifies that this amount was converted to 0.610 € at the time of the transition to the euro and has remained unchanged since73.</w:t>
      </w:r>
    </w:p>
    <w:p>
      <w:r>
        <w:t>h) The interbank commissions on transfers</w:t>
      </w:r>
    </w:p>
    <w:p>
      <w:r>
        <w:t>129. It should be noted that the interbank commission in the context of transfers is paid by the debtor's bank, as opposed to other commissions. The transfer operation, also called a transfer order, was created in the late 1960s. This operation remained free until 1987. No interbank payment commission was then associated with this means of payment. In 1987, the preparatory group's74 work on transfers mentioned the creation of a new type of "maturity" transfer as well as an associated interchange commission paid by the ordering bank to the receiving bank75. These maturity transfers were offered to customers between the late 1980s and the mid-2000s.</w:t>
      </w:r>
    </w:p>
    <w:p>
      <w:r>
        <w:t>130. In 1995, the working group led by Mr. B... proposed to the CIR the creation of an externally originated transfer accepted by the CIR on December 2, 199476. The establishment of these commissions was confirmed by Société Générale77 and the Banque de France, which specify that the amount of the commission "was 10 F," then increased to 12 F in 199578 according to CM CIC, and finally converted to 1.829 €79.</w:t>
      </w:r>
    </w:p>
    <w:p>
      <w:r>
        <w:t>131. Another type of transfer, the Specific Treasury-Oriented Transfers (VSOT), was established in the early 1990s. The interbank commission on this product was set at 5 F in November 1992 and converted to 0.762 €80. According to the parties, this means of payment and the interbank commission were abolished in the early 2000s.</w:t>
      </w:r>
    </w:p>
    <w:p>
      <w:r>
        <w:t>i) The commissions on rejections</w:t>
      </w:r>
    </w:p>
    <w:p>
      <w:r>
        <w:t>132. According to the Banque de France81, the commissions on rejected operations for direct debit notices, LCR, TIP, and telepayment were created "concurrently with the commissions on the corresponding operations and were set by the CIR (in the 1970s for LCR and AP, in 1988 for TIP, and in 1997 for telepayment)."</w:t>
      </w:r>
    </w:p>
    <w:p>
      <w:r>
        <w:t>133. The minutes of the meeting of November 15, 1972, of the Interbank Relations Commission allow us to date the creation of commissions for rejected direct debits no later than the end of 1972. At that time, "it was decided that, as soon as there is a return of a notice [of direct debit] duly accounted for – regardless of the reason – there must be a collection from the presenter of the commission of 3.50 F and a retrocession of 2.50 F to the debtor's banker, this solution being intended to encourage the issuer to ensure the perfect updating of their file"82. Thus, in 1972, the commission on rejected direct debits amounted to 2.50 F.</w:t>
      </w:r>
    </w:p>
    <w:p>
      <w:r>
        <w:t>134. Furthermore, the letter from the APB to the Banque de France dated November 22, 1972, establishes the creation of the commission on unpaid LCRs by 1972 at the latest: "the remuneration thus defined has been set so that the banker in charge of collection is credited with (...) 2.50 F in the event of a return of LCR (...), the presenting banker being debited identically"83.</w:t>
      </w:r>
    </w:p>
    <w:p>
      <w:r>
        <w:t>135. The minutes of the CIR meeting of March 29, 1993, state that the commissions on rejected operations for LCR, AP, and TIP amounted to "four francs since 1978"84. In reality, the commission on LCR and unpaid direct debits was raised to 4 F as early as</w:t>
      </w:r>
    </w:p>
    <w:p>
      <w:r>
        <w:rPr>
          <w:b/>
        </w:rPr>
        <w:t>[Pages 34–36]</w:t>
      </w:r>
    </w:p>
    <w:p>
      <w:r>
        <w:t>on May 1, 197685. These commissions on LCRs, direct debit notices, and unpaid TIPs were re-evaluated on January 1, 199486, at which point this amount was raised to five francs, the amount retained for the rejected telepayment commission in 1997. This amount was converted to €0.762 at the time of the transition to the euro and has remained unchanged since.</w:t>
      </w:r>
    </w:p>
    <w:p>
      <w:r>
        <w:t>F. THE PRELIMINARY ASSESSMENT</w:t>
        <w:br/>
        <w:t>136. In February 2012, the banks, the FBF, and the AFB informed the investigation services that they were willing to propose commitments based on the provisions of I of Article L. 464-2 of the Commercial Code in order to put an end to the practices denounced by the FCD and the ADUMPE.</w:t>
      </w:r>
    </w:p>
    <w:p>
      <w:r>
        <w:t>137. The preliminary assessment of the practices, notified by the investigation services to the parties on March 15, 2012, conducted analyses and outlined the competition concerns that follow.</w:t>
      </w:r>
    </w:p>
    <w:p>
      <w:r>
        <w:t>1. THE RELEVANT MARKET</w:t>
        <w:br/>
        <w:t>a) The product market</w:t>
        <w:br/>
        <w:t>138. Two types of end users, and thus of demanders, can be identified in the payment means markets: on the one hand, debtors, generally consumers87, who need payment instruments, and, on the other hand, creditors, mainly merchants or the administration, who wish to be able to collect their debts.</w:t>
      </w:r>
    </w:p>
    <w:p>
      <w:r>
        <w:t>139. The peculiarity of these two distinct demands lies in the fact that they are interdependent. The decision of the European Commission known as Visa II88 specifies in this regard that "the use of different payment systems (...) is determined by the interdependent decisions of consumers and merchants." Thus, the use of a given payment means is only possible if the creditor offers this means of payment and the debtor has this means of payment and agrees to use it.</w:t>
      </w:r>
    </w:p>
    <w:p>
      <w:r>
        <w:t>140. Given this peculiarity of payment means, the delineation of product markets requires examining potential substitutes, from the perspective of both debtors and creditors, for direct debit, TIP, and telepayment.</w:t>
      </w:r>
    </w:p>
    <w:p>
      <w:r>
        <w:t>(i) Substitutability between payment means from the perspective of debtors</w:t>
        <w:br/>
        <w:t>141. From the perspective of debtors, direct debit is distinguished by the fact that it is the only payment means that does not require explicit authorization from the debtor. This allows direct debit to stand out due to its ease of use: the debtor can relieve themselves of any material concerns related to payment by direct debit, whereas the use of other payment means will require debtors to perform actions, such as completing and sending the TIP or the check. However, this ease of use can also pose control difficulties for consumers, potentially leading to disputes: debtors do not control either the date or the amount of the payment, even though creditors must provide this information to debtors.</w:t>
      </w:r>
    </w:p>
    <w:p>
      <w:r>
        <w:t>142. The check and the TIP are comparable payment means from the perspective of debtors. These two payment instruments share the characteristic of being paper payment means, involving similar actions for debtors, and allowing control over the amounts and debit dates. The transfer, telepayment, and card, which all address a concern of check or TIP users for recurring remote payments, the control of payment, could be credible substitutes for the TIP, provided they are offered by creditors.</w:t>
      </w:r>
    </w:p>
    <w:p>
      <w:r>
        <w:t>143. Telepayment, primarily used for payments for which it is mandatory, has few substitutes in its current range of use. However, it could potentially substitute for the TIP or the check for remote payments if it were more widely offered to debtors.</w:t>
      </w:r>
    </w:p>
    <w:p>
      <w:r>
        <w:t>(ii) Substitutability between payment means from the perspective of creditors</w:t>
        <w:br/>
        <w:t>144. Direct debit has, according to the creditors themselves, a particular value. First, creditors initiate the direct debit payment order, whereas they are more dependent on the debtor's behavior with other payment means. Furthermore, creditors can easily anticipate the credit date of their account in the case of direct debit, which facilitates cash flow management. It should also be added, according to a member of the ADUMPE interviewed during the investigation, that direct debit allows "avoiding customer oversights that require reminders and can create customer incidents."</w:t>
      </w:r>
    </w:p>
    <w:p>
      <w:r>
        <w:t>Finally, direct debit has a more recent advantage: it allows for the dematerialization of the invoice, whereas the TIP, in particular, requires the sending of a paper invoice, with the TIP constituting the invoice footer89.</w:t>
      </w:r>
    </w:p>
    <w:p>
      <w:r>
        <w:t>145. The general preference for direct debit is illustrated by the behavior of certain creditors who encourage the use of direct debit in more or less direct ways, such as [MEMBER H], who encourages its distributors to enter into contracts providing for the use of direct debit90, EDF and the State, who may offer extended payment terms in the case of direct debit91, or [MEMBER G], who offers discounts in the case of direct debit92.</w:t>
      </w:r>
    </w:p>
    <w:p>
      <w:r>
        <w:t>146. Regarding other payment means, the ADUMPE summarizes the situation as follows: "In the hierarchy of preferred payment means other than direct debit, we find telepayment, TIP, check, and finally the bank card, which is generally not recommended due to its high costs. In practice, however, customers who do not accept direct debit generally issue a TIP or a check"93. The FCD explains that "in the hierarchy of payment means, when payment is not made at the checkout, merchants place direct debit first, followed by telepayment, which could substitute for the TIP"94.</w:t>
      </w:r>
    </w:p>
    <w:p>
      <w:r>
        <w:t>147. The TIP has the advantage over the check as well as over the transfer of facilitating the accounting reconciliation between the payment and the invoice. This point was noted in the Edgar Dunn study for the CCSF dated March 2011 and dedicated to the use of checks in France95.</w:t>
      </w:r>
    </w:p>
    <w:p>
      <w:r>
        <w:t>148. Therefore, it seems that direct debit does not have a very close substitute from the perspective of creditors. Among other payment means, the TIP and telepayment appear relatively more advantageous than the card and the check, both of which are more burdensome for processing reasons (check, transfer) or banking costs (payment card).</w:t>
      </w:r>
    </w:p>
    <w:p>
      <w:r>
        <w:t>(iii) Substitutability from the perspective of supply</w:t>
        <w:br/>
        <w:t>149. Direct debit, telepayment, and TIP, within the banking circuit, involve relatively similar processing, both from the debtor's bank and from the creditor's bank. Only the controls performed by the debtor's bank are more or less varied depending on the payment means. In contrast, the check requires specific equipment for the presenting bank, particularly tools for creating check images. Similarly, the check requires specific requirements for the issuing bank, which must issue check forms and process check images according to specific processes. Finally, the payment card relies on its own infrastructure. The acquiring bank must provide servers dedicated to the card and, in the case of point-of-sale transactions, sell or lease payment terminals to the merchant. Cards must be distributed by banks to cardholders.</w:t>
      </w:r>
    </w:p>
    <w:p>
      <w:r>
        <w:t>150. It follows that the processing induced by the different payment means for the banks offering payment services is relatively close for direct debit, TIP, and telepayment, and more differentiated in the case of the check or payment card.</w:t>
      </w:r>
    </w:p>
    <w:p>
      <w:r>
        <w:t>151. It can also be noted that the transaction costs for banks differ depending on the payment means. Although banks have few comprehensive quantitative studies on these aspects96, Société Générale and Crédit Agricole have reported that the costs of the card for debtor banks are likely relatively high compared to those of other payment means. Société Générale specified that</w:t>
      </w:r>
    </w:p>
    <w:p>
      <w:r>
        <w:rPr>
          <w:b/>
        </w:rPr>
        <w:t>[Pages 37–39]</w:t>
      </w:r>
    </w:p>
    <w:p>
      <w:r>
        <w:t>qu'elle estimait que « le chèque est le moyen de paiement scriptural le plus onéreux pour les banques. Il précède la carte, puis le prélèvement et le TIP »97.</w:t>
      </w:r>
    </w:p>
    <w:p>
      <w:r>
        <w:t>(iv) Conclusion on the definition of the product market</w:t>
        <w:br/>
        <w:t>152. In light of the characteristics of the various means of payment for debtors, creditors, and banks, it could be considered to define two markets specific to direct debit on which credit or payment institutions compete to sell direct debit payment services to debtors on one hand, and to manage collections by direct debit for creditors on the other hand. Similarly, two markets specific to telepayment could be defined. Finally, a market for remote payment services via TIP, check, and card to debtors and a market for collection services for remote payments via TIP, check, and card could be defined.</w:t>
      </w:r>
    </w:p>
    <w:p>
      <w:r>
        <w:t>153. However, the question of whether direct debit, TIP, check, card, transfer, or telepayment fall within a single or multiple relevant markets may remain open, given the nature of the practices that have raised competition concerns.</w:t>
      </w:r>
    </w:p>
    <w:p>
      <w:r>
        <w:t>154. Indeed, as the Competition Authority has repeatedly pointed out, for this type of behavior, "it is (...) not necessary to define the market precisely, as in the case of abuse of a dominant position, as long as the sector and the markets have been sufficiently identified to allow for the qualification of the practices that have been observed and to attribute them to the operators who implemented them" (see, for example, decision No. 05-D-27 of June 15, 2005, regarding practices observed in the white tuna sector and decision No. 07-D-41 cited above)98.</w:t>
      </w:r>
    </w:p>
    <w:p>
      <w:r>
        <w:t>155. Likewise, the Court indicated in a judgment of July 6, 2000, Volkswagen/Commission that: "the delimitation of the market does not play the same role depending on whether it is a matter of applying Article [101 TFEU] or Article [102 TFEU]. In the context of the application of Article [102 TFEU], the adequate definition of the relevant market is a necessary and preliminary condition for assessing a behavior allegedly anti-competitive, since, before establishing the existence of a dominant position, it is necessary to establish the existence of a dominant position in a given market, which implies that this market has been previously delineated. In contrast, in the context of the application of [Article 101 TFEU], it is to determine whether the agreement, the decision of association of undertakings, or the concerted practice in question is likely to affect trade between Member States and has as its object or effect to prevent, restrict, or distort competition within the common market, that it is necessary, if applicable, to define the market in question (judgment of the Court of February 21, 1955, SPO e.a./Commission, T-29/92, Rec. p. II-289, paragraph 274); Consequently, the obligation to delineate in a decision is imposed on the Commission when, without such delineation, it is not possible to determine whether the agreement, the decision of associations of undertakings, or the concerted practice in question is likely to affect trade between Member States and has as its object or effect to prevent, restrict, or distort competition within the common market (judgment of the Court of September 15, 1998, European Night Services e.a./Commission, T-374:94, T-375/94 and T-384/94 and T-388/94, Rec. p. II-3141, paragraphs 93 to 95 and 105) (judgment of the Court of July 6, 2000, Volkswagen/Commission, case T-62/98, Rec. p. II-2701, paragraph 230).</w:t>
      </w:r>
    </w:p>
    <w:p>
      <w:r>
        <w:t xml:space="preserve">97 Hearing minutes of Société Générale of October 13, 2011, Cote 5226.  </w:t>
        <w:br/>
        <w:t>98 Decision No. 09-D-17 of April 22, 2009, regarding practices implemented by the regional council of the Order of pharmacists of Lower Normandy, §40.</w:t>
      </w:r>
    </w:p>
    <w:p>
      <w:r>
        <w:t>b) Delimitation of the geographical market</w:t>
        <w:br/>
        <w:t>156. In its communication on the definition of the relevant market99, the European Commission recalls that: "The relevant geographical market comprises the territory in which the concerned companies are engaged in the offering of the goods and services in question, where the conditions of competition are sufficiently homogeneous and which can be distinguished from neighboring geographical areas because, in particular, the conditions of competition differ appreciably."</w:t>
      </w:r>
    </w:p>
    <w:p>
      <w:r>
        <w:t>157. In this case, the transactions concerned correspond solely to domestic transactions processed in France, to which specific multilateral interchange fees apply. Cross-border transactions can only be carried out using specific payment instruments such as SEPA transfer or SEPA direct debit, both of which operate with specific standards.</w:t>
      </w:r>
    </w:p>
    <w:p>
      <w:r>
        <w:t>158. Thus, the organization of the market, the origin of the concerned companies, and the very functioning of the consultation confirm that the practices examined have been implemented solely on French territory. It follows that the relevant geographical market would be the national market.</w:t>
      </w:r>
    </w:p>
    <w:p>
      <w:r>
        <w:t>2. COMPETITION CONCERNS RAISED BY THE PRACTICES IN QUESTION</w:t>
        <w:br/>
        <w:t>159. The preliminary assessment found that banks and the AFB collectively decided to establish and set the interbank fees applicable to transactions by direct debit, TIP, telepayment, bill of exchange, transfer, as well as to exceptional operations (also called R transactions). It appears, at the end of this assessment, that these agreements and practices are likely to constitute a restriction of competition both in terms of their object (a) and in light of their effects (b).</w:t>
      </w:r>
    </w:p>
    <w:p>
      <w:r>
        <w:t>a) The preliminary assessment of the anti-competitive nature of the agreements and practices in question with regard to their object</w:t>
        <w:br/>
        <w:t>(i) Principles</w:t>
        <w:br/>
        <w:t>160. The essential objective of competition rules is that every economic operator autonomously determines the policy it intends to follow in the market (see judgments of the Court of Justice of July 14, 1981, Zuchner, 172/80, Rec. p. 2021, paragraph 13, and of June 4, 2009, T-Mobile Netherlands e.a., C-8/08, Rec. p. I-4529, paragraph 32).</w:t>
      </w:r>
    </w:p>
    <w:p>
      <w:r>
        <w:t>161. It is established case law that, "for there to be an agreement within the meaning of Article [101] of the Treaty, it is sufficient that the companies involved have expressed their common intention to behave on the market in a certain manner" (judgments of the Court of Justice of July 15, 1970, ACF Chemiefarma/Commission, 41/69, Rec. p. 661, paragraph 112, and of the Court of First Instance of April 20, 1999, Limburgse Vinyl Maatschappij e.a./Commission, T-305/94 to T-307/94, T-313/94 to T-316/94, T-318/94, T-325/94, T-328/94, T-329/94 and T-335/94, Rec. p. II-931, paragraph 715). The notion of agreement implies the existence of a concordance of wills between at least two parties, the form of the manifestation being unimportant as long as it constitutes a faithful expression of those wills (judgments of the Court of First Instance of October 26, 2000, Bayer/Commission, Rec. p. II-3383, paragraph 69, and of September 27, 2006, Dresdner Bank e.a./Commission, T-44/02 OP, T-54/02 OP, T-56/02 OP, T-60/02 OP and T-61/02 OP, Rec. p. II-3567, paragraph 55).</w:t>
      </w:r>
    </w:p>
    <w:p>
      <w:r>
        <w:t>162. In the case of agreements manifested during meetings of competing companies, a violation of competition rules may be constituted when these meetings aim to restrict, prevent, or distort competition and thus seek to artificially organize the functioning of the market (see, in this sense, judgment of the Court of Justice of June 28, 2005, Dansk Rorindustri e.a./Commission, cited above, paragraph 145).</w:t>
      </w:r>
    </w:p>
    <w:p>
      <w:r>
        <w:t>163. These anti-competitive agreements are prohibited regardless of any secret character: while secret agreements whereby competitors agree to fix prices, allocate customers or markets, or even to limit production are among the most serious violations of competition rules provided for by Article 101 of the Treaty on the Functioning of the European Union (TFEU), it follows from the very terms of this provision that any agreement consisting, in particular, "of directly or indirectly fixing purchase or selling prices or other trading conditions" is incompatible with the common market. Similarly, Article L. 420-1 of the Commercial Code expressly prohibits any concerted action, any agreement or any express or tacit understanding having as its object or effect, in particular, "to obstruct the setting of prices by the free play of the market by artificially promoting their increase or decrease."</w:t>
      </w:r>
    </w:p>
    <w:p>
      <w:r>
        <w:t>164. Regarding agreements that may be concluded between banking operators concerning scriptural means of payment, the European Commission specified as early as 1995, in a communication regarding the application of Community competition rules to cross-border transfer systems100 that, while an agreement on bilateral interbank commissions does not contravene the provisions prohibiting collusion, "any agreement on a multilateral interbank commission is a restriction of competition under Article 85 paragraph 1 [now 101, paragraph 1, TFEU], as it significantly limits the freedom of banks to individually establish their pricing policy." The Commission emphasizes that this restriction is also likely to distort the behavior of banks towards their clients101.</w:t>
      </w:r>
    </w:p>
    <w:p>
      <w:r>
        <w:t>165. This analysis has since been reiterated by the European Commission for direct debit operations. The Commission states, in a working document of October 2009, in paragraph 12 that: "as the MIFs [multilateral interbank fees] typically set a floor level below the rates that banks charge businesses, they constitute a restriction of competition by object, as, by their very nature, they are likely to restrict competition"102. The setting of this threshold or "floor level" limits competition in the activities of creditor banks.</w:t>
      </w:r>
    </w:p>
    <w:p>
      <w:r>
        <w:t xml:space="preserve">166. The judgment of the Court of the European Union of May 24, 2012, Mastercard and MasterCard Europe/Commission (case T-111/08), which dismissed the appeal against decision No. C (2007) 6474 of December 19, 2007, regarding a procedure for the application of Article 81 EC and Article 53 of the EEA Agreement (cases COMP/34.579 – Mastercard, COMP/36.518 – EuroCommerce and COMP/38.580 – Commercial Cards) has reinforced this assessment by specifying, in paragraphs 138 to 140, that "it should be noted that, in recitals 401 to 407 of the contested decision, the Commission emphasized that MIFs had 'probably, by their nature, the potential to fix prices'" (recital 100 JOCE 1995.C.251.68, p.3.  </w:t>
        <w:br/>
        <w:t xml:space="preserve">101 § 40.  </w:t>
        <w:br/>
        <w:t>102 http://ec.europa.eu/competition/sectors/financial_services/SEPA_working_document_fr.pdf.</w:t>
      </w:r>
    </w:p>
    <w:p>
      <w:r>
        <w:rPr>
          <w:b/>
        </w:rPr>
        <w:t>[Pages 40–42]</w:t>
      </w:r>
    </w:p>
    <w:p>
      <w:r>
        <w:t>405 of the contested decision). It also rightly rejected the applicants' arguments based on the pursuit of legitimate objectives of the CMI or the absence of intent to restrict competition. However, it decided, in recital 407 of the contested decision, not to "draw a definitive conclusion on whether the CMI of [the payment organization] MasterCard constituted a restriction by object within the meaning of Article 81, paragraph 1, [EC]," on the grounds that it was clearly established "that the CMI of [the payment organization] MasterCard had the effect of restricting and significantly distorting competition to the detriment of merchants in the acquiring markets."</w:t>
      </w:r>
    </w:p>
    <w:p>
      <w:r>
        <w:t>The object and the anti-competitive effect of a decision of an association of undertakings are not cumulative but alternative conditions for assessing whether such a decision falls under the prohibition set out in Article 81, paragraph 1, EC. The alternative nature of this condition, marked by the conjunction "or," leads to the necessity of first considering the very object of the decision, taking into account the economic context in which it is to be applied (...).</w:t>
      </w:r>
    </w:p>
    <w:p>
      <w:r>
        <w:t>In this regard, it is worth noting that Article 81, paragraph 1, sub a), EC expressly provides that measures that consist of directly or indirectly fixing purchase or selling prices constitute restrictions of competition and that, according to case law, the object of Article 81, paragraph 1, sub a), EC is to prohibit undertakings from distorting the normal evolution of prices in the market (judgment of the Court of First Instance of 10 March 1992, ICI/Commission, T-13/89, Rec. p. II-1021, point 311).</w:t>
      </w:r>
    </w:p>
    <w:p>
      <w:r>
        <w:t>167. This judgment further clarified that "From reading this analysis, it appears that the Commission could legitimately conclude, in recital 435 of the contested decision, that 'the CMI of [the payment organization] MasterCard set a floor level for the fees charged to both small and large merchants' (paragraph 163).</w:t>
      </w:r>
    </w:p>
    <w:p>
      <w:r>
        <w:t>(ii) The Inter-Network Commission (hereinafter, "CIR") used as a support for a possible collusion practice</w:t>
      </w:r>
    </w:p>
    <w:p>
      <w:r>
        <w:t>168. The preliminary assessment recalled that it follows from consistent decision-making practice and case law that "a company must rigorously refrain from participating in direct or indirect contacts with its competitors with a view to exchanging information on commercial policies and notably the prices of goods or services it offers on the market."</w:t>
      </w:r>
    </w:p>
    <w:p>
      <w:r>
        <w:t>169. However, the preparatory meetings within the working groups on the one hand, and the negotiations and decisions made within the CIR on the other hand, allowed the parties to reach a consensus on the level of multilateral interbank commissions. These decisions were recorded in written minutes of meetings and correspondence, which are part of the file. It is evident from these documents that the banks expressed a common will to collectively set these commissions, which is sufficient, in light of the case law recalled above, to establish the existence of an agreement within the meaning of Article 101, paragraph 1, of the TFEU and, consequently, of Article L. 420-1 of the Commercial Code.</w:t>
      </w:r>
    </w:p>
    <w:p>
      <w:r>
        <w:t>170. For its part, the CIR was also tasked with reviewing the level of interbank commissions. The preliminary assessment concluded that the negotiations between the parties never led to a decrease in these banking charges but, on the contrary, always led to their increase, even though the transaction processing costs are today, presumably, significantly lower than at the time of their setting, due in particular to the increase in transaction volumes that may have created economies of scale, and the gradual automation of all processing steps.</w:t>
      </w:r>
    </w:p>
    <w:p>
      <w:r>
        <w:t>171. The working groups and the CIR thus allowed the banks to establish and maintain an agreement on the level of these interbank commissions described above.</w:t>
      </w:r>
    </w:p>
    <w:p>
      <w:r>
        <w:t>(iii) Competitive analysis of multilateral interchange commissions</w:t>
      </w:r>
    </w:p>
    <w:p>
      <w:r>
        <w:t>172. At the end of the preliminary assessment, it appears that these agreements would be likely to have an anti-competitive nature given their very object.</w:t>
      </w:r>
    </w:p>
    <w:p>
      <w:r>
        <w:t>173. The interbank commission is, according to Mr. Pierre D..., "an element of the costs of the creditor's bank, which is included in the pricing applied to the creditor. Presumably, the argument of the existence of an interbank commission may have been used by some creditor banks to justify their prices, and this is understandable: for a bank, selling below the level of the interbank commission amounts to selling below its cost price (...). The objective of the CIR was to find a consensus among the banks, knowing that a cost assessment can be subject to different interpretations."</w:t>
      </w:r>
    </w:p>
    <w:p>
      <w:r>
        <w:t>174. The agreements observed seem, in the state of a preliminary assessment, to participate in the same common objective of controlling the conditions of interbank pricing through the collective setting of pricing conditions for payment methods, in their various modalities (agreements on rates, their evolution, their schedule of evolution, the value dates of interbank exchanges, etc.) to mitigate competition among banks.</w:t>
      </w:r>
    </w:p>
    <w:p>
      <w:r>
        <w:t>175. These practices are, by their very nature, likely to impact the pricing of banks to their clients. Indeed, interbank commissions constitute an additional cost for the banks that pay these commissions. This additional cost is necessarily likely to be taken into account by the banks in their pricing proposals. Several banking institutions have, moreover, acknowledged that they pass on interbank commissions to their clients, or at least take them into account in their pricing proposals to their creditor clients, similar to processing costs.</w:t>
      </w:r>
    </w:p>
    <w:p>
      <w:r>
        <w:t>176. As for the interbank commissions per transaction, their amounts correspond to ceilings that apply in principle by default. However, no institution questioned by the investigation services stated that it had entered into bilateral agreements substituting the levels that apply by default. On the contrary, the banks committed "not to favor bilateral agreements in order to preserve the interbank nature of exchanges." The Banque de France, which indicated that bilateral commission systems were "theoretically possible," simultaneously considers that they can have "a pernicious impact on competition, in the sense of excluding small institutions. Indeed, large institutions could be tempted to demand high pricing for payments collected by small banks and to request to pay only reduced prices for the collections they present themselves in compensation."</w:t>
      </w:r>
    </w:p>
    <w:p>
      <w:r>
        <w:t>177. Thus, the current system of multilateral interbank commissions would allow for correcting a supposed imbalance between banks by placing them in a position of equality – an objective that, even if established, could in no way undermine the qualification of restriction of competition by object.</w:t>
      </w:r>
    </w:p>
    <w:p>
      <w:r>
        <w:t>178. Similarly, the statements of Mr. Pierre D... establish a link between interbank pricing and client pricing: "The interbank commission is an element of the costs of the creditor's bank, which is included in the pricing applied to the creditor" (emphasis added).</w:t>
      </w:r>
    </w:p>
    <w:p>
      <w:r>
        <w:t>179. The link between interbank pricing and client pricing also appears clearly in the correspondence of the "clearing computer" working group dated July 21, 1971, which specifies: "Finally, it seemed that a (relatively) high remuneration for the recipient bank would constitute a good argument to oppose to our clients who are trying to obtain a reduced price, or free of charge, for direct debit notifications." The same is true in the minutes of the CIR meeting of October 9, 1987, during which the banks discussed the relevance of a reduction in the per transaction commission applicable to TIPs paid by account debit. The banks in favor of a significant reduction in this commission particularly advanced the following arguments: " - the target of the TIP is precisely that of 600 million remote payments made by checks, and to reach such a market, the TIP must be competitive compared to the check + stub processed for the account of large creditor organizations (the EDF cost, i.e., 1.35 F HT, constitutes a reference base for determining the total amount of costs that a TIP issuer must bear in order to massively offer this payment method to its debtors); - by being too cautious and limiting the reduction of the interbank commission, the profession risks stifling the growth of the TIP; however, it is at the birth of the product that the TIP must be endowed with all its attributes, as it has been shown that subsequent pricing manipulations generally do not allow for altering the market trend."</w:t>
      </w:r>
    </w:p>
    <w:p>
      <w:r>
        <w:t>180. Finally, since all banks involved in the procedure have both issuing and receiving activities for payment methods, none of them is disadvantaged by the setting of the amounts of the per transaction commissions as they receive the interchange commission when they act as debtor banks and would pass on the commissions to their clients (see below), as creditor banks. This price floor for creditors would thus ensure a minimum remuneration for each transaction in the banking circuit, which reinforces the importance of the harm to competition that these practices are likely to cause by their very object, and thus the concerns of the investigation services in this regard.</w:t>
      </w:r>
    </w:p>
    <w:p>
      <w:r>
        <w:t>181. Exceptional operations that give rise to a collectively fixed multilateral commission may correspond to the remuneration of the bank that performs services (processing a rejection, processing a request for AOCT, ...) due to an error by the other bank or the client of the other bank. Conversely, and by analogy with</w:t>
      </w:r>
    </w:p>
    <w:p>
      <w:r>
        <w:rPr>
          <w:b/>
        </w:rPr>
        <w:t>[Pages 43–45]</w:t>
      </w:r>
    </w:p>
    <w:p>
      <w:r>
        <w:t>the analysis just presented for transaction commissions, the multilateral setting of exceptional commissions is likely to constitute a restriction of competition insofar as banks jointly set uniform amounts of interbank commissions regardless of their cost prices. These uniform amounts are also particularly likely to influence the pricing for bank clients for these erroneous payment operations.</w:t>
      </w:r>
    </w:p>
    <w:p>
      <w:r>
        <w:t>b) The preliminary assessment of the anti-competitive nature of the agreements and practices in question with regard to their effects</w:t>
      </w:r>
    </w:p>
    <w:p>
      <w:r>
        <w:t>182. The current and potential effects of interbank commissions on client pricing and more broadly on the competitive functioning of the sector have been assessed based on several elements of the file, both qualitative and quantitative. It emerges from these elements that interbank commissions are passed on to the bank clients who pay the commissions, namely the creditors in the case of transaction commissions and rejections. The practices in question are therefore likely to distort the normal functioning of competition in the market due to not only their potential effects – an element that would suffice, in itself, to conclude that they violate the TFEU and the Commercial Code – but also, in this case, their observable effects.</w:t>
      </w:r>
    </w:p>
    <w:p>
      <w:r>
        <w:t>♦ Qualitative elements</w:t>
      </w:r>
    </w:p>
    <w:p>
      <w:r>
        <w:t>183. Several types of qualitative elements demonstrate the impact of interbank commissions on client pricing: statements from banks; the formulation of bank tariffs in the form "interbank commission + X"; contractual clauses or validity of bank offers; the existence, in some cases, of differentiated pricing between interbank and intrabank collections, with differences sometimes significantly exceeding the differences in costs (excluding interbank commissions) between these two types of collections.</w:t>
      </w:r>
    </w:p>
    <w:p>
      <w:r>
        <w:t>i. Statements from banks</w:t>
      </w:r>
    </w:p>
    <w:p>
      <w:r>
        <w:t>184. First of all, several banks interviewed indicated that interbank transaction commissions could have an impact on creditor pricing, which would characterize a potential anti-competitive effect of these practices. The Banque de France and Société Générale were particularly explicit about the passing on of these interbank commissions to creditors, with the Banque de France stating that "interbank commissions have an impact on creditors who bear this cost," and Société Générale stating that "the creditor alone bears the interchange fee. The creditor's bank pays the fee on behalf of the creditor. It should be noted that the fee is charged back without margin on the relevant volume"; finally, according to La Banque Postale, "from the merchant's side, given the intensity of competition, there is an imperfect and partial passing on of the commissions. The interbank commission is taken into account in the bank's costs, but it is only one cost element among others."</w:t>
      </w:r>
    </w:p>
    <w:p>
      <w:r>
        <w:t>ii. The formulation of certain bank tariffs</w:t>
      </w:r>
    </w:p>
    <w:p>
      <w:r>
        <w:t>185. On the other hand, it should be noted that in invoices sent to two clients, [BANK 3] distinguishes two billing lines for both collected direct debits and rejected direct debits: a first billing line appears in the category "management fees [BANK 3]," while a second is found in the category "Interbank Commissions." The unit amounts corresponding to this second line are €0.122 for direct debits and €0.762 for rejected direct debits. These invoices thus indicate a direct and full passing on of interbank commissions on the direct debit for these two clients of [BANK 3].</w:t>
      </w:r>
    </w:p>
    <w:p>
      <w:r>
        <w:t>186. Similarly, [BANK 6], in the context of a consultation initiated by [MEMBER H] on May 18, 2001, regarding direct debit notices and TIP, makes a pricing proposal to this company for the management of collections by direct debits and by TIP, as well as the associated rejections. The pricing grids indicated by the bank show a unit price in euros for collections or for rejections, alongside which is an approximation in francs, expressed in the form CIP + X. This expression of the price as the sum of the "CIP" and another component clearly expresses the reference role played by interbank commissions. It can also be noted that the price component added to the interbank commission is relatively low, as it always represents less than 5% of the final proposed price, both for collected direct debits and TIPs as well as for rejected operations of these payment methods.</w:t>
      </w:r>
    </w:p>
    <w:p>
      <w:r>
        <w:t>187. Furthermore, [BANK 11], in response to a tender from EDF regarding collections by direct debit, explains in its pricing offer that it has two billing principles: "a desire for transparency and a spirit of partnership" on the one hand and, on the other hand, a "commitment to ensure that Electricité de France benefits from the full reduction of the CIP as soon as it comes into effect." It then details the pricing formula: "from the day the new CIP is implemented:</w:t>
        <w:br/>
        <w:t>- Adjustment of the interbank price according to the following formula: new interbank CIP + processing costs of €0.0045</w:t>
        <w:br/>
        <w:t>- Adjustment of the intragroup CA price according to the following formula: new interbank CIP * 90% + processing costs of €0.0025."</w:t>
      </w:r>
    </w:p>
    <w:p>
      <w:r>
        <w:t>188. This offer from [BANK 11] is again particularly explicit regarding the full passing on of the interbank commission on the creditors. In this same document, the bank even quantifies the savings for EDF in the event of an adjustment of the CIP to €0.06. It can also be noted that the interbank commission has, in this particular case, an impact not only on the pricing of interbank collections but also on intrabank collections.</w:t>
      </w:r>
    </w:p>
    <w:p>
      <w:r>
        <w:t>189. Finally, useful insight can be provided, which this time concerns the SEPA direct debit, and not the domestic direct debit. In response to a tender launched by the company [MEMBER C], which asked banks for their tariffs for the collection of SEPA direct debits (or SDD) under several hypothetical interchange levels, several banks expressed a particularly explicit link between the level of interbank commissions and the level of pricing. This is the case for [BANK 8], which explains that it will apply for SDD "same bank," thus intrabank SDD, a price of "interchange commission plus 0.01" and for SDD "other banks" a price of "interchange commission plus 0.017." For unpaid items, [BANK 8] mentions a price of "interchange commission plus 0.05." Similarly, [BANK 14] explains that "our price for SDD is 2.5 cents. Any additional charges for interbanking fees would thus be recharged to [Member C]," and [BANK 15] indicates that in the case of applying an interchange commission different from 12.2, 8.8, or 0 c€, the price will be established according to the formula "0.0185 EUR + the new interchange fee." Finally, regarding unpaid items, [BANK 16] proposes a management fee for unpaid SDD at "interchange + 0.175 euro." Although the various elements mentioned in this paragraph do not concern the national direct debit, but the SEPA direct debit, an analogous reasoning allows highlighting the influence of interbank commissions on the billing of creditors.</w:t>
      </w:r>
    </w:p>
    <w:p>
      <w:r>
        <w:t>iii. Contractual clauses or validity of bank offers</w:t>
      </w:r>
    </w:p>
    <w:p>
      <w:r>
        <w:t>190. Furthermore, several contractual documents demonstrate that creditor pricing is likely to evolve in the event of a change in the level of interchange commissions.</w:t>
      </w:r>
    </w:p>
    <w:p>
      <w:r>
        <w:t>191. To take just a few examples specifically concerning the TIP, in its response to a tender launched in 2005 by EDF for the management of its TIP collections, [BANK 8] expresses "principles" at the beginning of its section dedicated to pricing, among which is the following principle: "the conditions and value dates indicated in our offer are established based on the interchange commissions and the interbank rules currently in force. Any potential modification, both downward and upward, of these rules and commissions would be passed on in our pricing with one month's notice." Similarly, [BANK 2], in its response to this same tender, specifies in its pricing proposal that "a change in the rules of the SIT regarding schedules or settlements between banks, in either direction, would be likely to have an impact on the proposed pricing." Finally, [BANK 10] expresses the following validity condition for its pricing offer: "[BANK 10] reserves the right to revise this pricing in the event of a change in interbank tariffs."</w:t>
      </w:r>
    </w:p>
    <w:p>
      <w:r>
        <w:t>192. Regarding the elements concerning direct debits only or both direct debits and TIP, similar formulas to those previously cited can be found.</w:t>
      </w:r>
    </w:p>
    <w:p>
      <w:r>
        <w:t>193. Thus, in response to a tender launched in 2007 by EDF for the management of its collected direct debits, [BANK 3] explains that "the pricing related to this offer is described in paragraph 11, it being specified that any reduction in the commission</w:t>
      </w:r>
    </w:p>
    <w:p>
      <w:r>
        <w:rPr>
          <w:b/>
        </w:rPr>
        <w:t>[Pages 46–48]</w:t>
      </w:r>
    </w:p>
    <w:p>
      <w:r>
        <w:t>interbank that could be decided would be immediately passed on to you"126. In response to the same call for tenders, [BANK 8] specifies that "the conditions and values indicated within this offer are established based on the current interchange commissions and interbank rules. They will be subject to an agreement to be signed between the parties. Any potential modification of these rules and commissions will result in the termination of this agreement with a notice period of 3 months"127. Similar clarifications can be found in the responses of several banks to a call for tenders launched by the same creditor in 2001. For example, [BANK 9] indicates in its financial proposal that "any increase or decrease in interbank commissions will be automatically passed on"128 (emphasis added). As for [BANK 6], it explains that its "offer has been established within the framework of the legislation and interbank regulations currently in force. Any direct financial consequences, positive or negative, of a change in these texts will be passed on, from the effective date, to the pricing conditions we propose"129.</w:t>
      </w:r>
    </w:p>
    <w:p>
      <w:r>
        <w:t>194. Similar elements demonstrating the influence of interbank commissions on creditor client pricing can be found in documents concerning various clients. [MEMBER H], for example, in response to a call for tenders in 2009, is informed by [BANK 1] that the bank "is currently studying the possibility of providing these large remitters with a reduced rate CIP. Regardless of this consideration, in the event of a change in interbank exchange regulations, we commit to passing on any potential decrease in the CIP to the collection price of interbank direct debits/SDD"130 (emphasis added). The framework contract concluded between [MEMBER B] and [BANK 3] in 2005 mentions the various cases in which a renegotiation may take place, including the "case of new measures imposed by public authorities, or changes to interbank exchange conditions decided by the banking profession that could alter the economic or legal balance of said contracts"131. Interbank commissions are very likely part of the interbank exchange conditions whose modifications could be decided by the banking profession. [MEMBER E] has provided several contracts concluded with banks, including the contract with [BANK 1], which states that "in the event of a change in interbank exchange regulations, the provider commits to fully passing on a decrease in the CIP for the entire remaining duration of the contract"132, the contract with [BANK 11], which specifies that "in the event of a change in interbank exchange regulations or interchange commission levels, the provider commits to fully passing on a decrease in the Interbank Payment Commission for the entire remaining duration of the contract. In particular, the Provider commits to fully passing on a decrease in the Interbank Payment Commission for direct debits on the price of the "Interbank" direct debit from the day the new Interbank Payment Commission comes into effect, as well as to lowering the price of the "Intra-group" direct debit if the price of the "Interbank" direct debit becomes less than 0.1025 euros per direct debit"133, or that of [BANK 4], which states that "in the event of a change in interbank exchange regulations or interchange commission levels, the impact of these variations, whether upward or downward, will be fully passed on to [MEMBER E]"134.</w:t>
      </w:r>
    </w:p>
    <w:p>
      <w:r>
        <w:t>iv. Differentiated pricing in certain cases between interbank and intrabank collections</w:t>
      </w:r>
    </w:p>
    <w:p>
      <w:r>
        <w:t>195. Finally, the passing on of interbank commissions to creditors is also evidenced by the existence, for certain creditors and generally only for direct debits, of distinct pricing for interbank and intrabank collections, and sometimes particularly differentiated.</w:t>
      </w:r>
    </w:p>
    <w:p>
      <w:r>
        <w:t>196. Among other examples, the pricing agreement between [BANK 10] and [MEMBER H] from December 2006 provides for a billing of intrabank direct debits at 0.06098 €, and interbank direct debits at a rate more than twice as high, ranging from 0.127 to 0.12958 € depending on the volume135. The 2009 pricing proposal from [BANK 1] to [MEMBER H]136 shows that the pricing before 2009 applied by this bank for intrabank direct debits was 0.05 €, while the pricing for interbank direct debits was 0.1275 €. While the pricing proposal offers a stable rate for intrabank, and a slightly lower price for interbank (between 0.125 and 0.126 € depending on the entrusted volume), the gap remains extremely significant. Differences between interbank and intrabank rates can also be observed at [BANK 11], still with [MEMBER H]: an invoice from 2011 indicates a unit price for intra-group direct debits of 0.092 € and a price for "peer" direct debits (understood as interbank) of 0.125 €137.</w:t>
      </w:r>
    </w:p>
    <w:p>
      <w:r>
        <w:t>197. The cases of differentiation between interbank and intrabank rates also concern other companies. Thus, [MEMBER E] benefits from reduced rates for intrabank collections from several banks, such as [BANK 1] (0.0795 € compared to 0.1209 €138) or [BANK 11] (0.1025 € against 0.1265 €139). Similarly, several banks charged [Member C] in 2009 different rates depending on whether the direct debits were intra or interbank, with reduced differences for some banks (two cents or less difference for [BANK 9], [BANK 11], [BANK 12], or [BANK 8])140, more significant for others (6.65 cents for [BANK 1] and even 7.5 cents for [BANK 7]). A final example concerns the relationship between [client 1] and [BANK 7]: the bank explains that it has a different pricing for this client depending on whether the direct debit is interbank (0.099 €) or intrabank (between 0 and 0.03 €)141.</w:t>
      </w:r>
    </w:p>
    <w:p>
      <w:r>
        <w:t>198. Moreover, it may happen that, even if the rates for interbank and intrabank collections are identical, the share of intrabank collections is taken into account in the pricing. Besides being indicated in several offers or contracts142, several banks reported this in their response to the questionnaire sent by the reporters on December 1, 2011. For example, BNP Paribas explained that it generally applies a single pricing for interbank and intrabank operations, before specifying that "in certain cases, in order to be more competitive than the negotiation framework with certain clients, BNP Paribas may be led to reduce its pricing proposal by taking into account intra-bank operations ("on us"), for example"143. Similarly, La Banque Postale explains that "the proportion of intrabank direct debits is taken into account in the pricing, but it is only one pricing criterion among others"144, and LCL states that it takes into account in certain cases the proportion of intra-group direct debits145.</w:t>
      </w:r>
    </w:p>
    <w:p>
      <w:r>
        <w:t>199. To correctly interpret these pricing differences between interbank and intrabank collections, it should be clarified that two factors distinguish an interbank collection from an intrabank collection.</w:t>
      </w:r>
    </w:p>
    <w:p>
      <w:r>
        <w:t>200. The first factor relates to the processing costs of the creditor's bank: the processing is slightly different between the two types of collection, mainly because the compensation system will be an essential step for interbank collections, and not for intrabank collections. Nevertheless, the differences in processing costs are minimal, on the order of 0.1 euro cents, and cannot alone explain the price differences of several cents that are observed.</w:t>
      </w:r>
    </w:p>
    <w:p>
      <w:r>
        <w:t>201. Consequently, it is very likely that it is the second distinguishing factor between the two types of collections, namely the interbank commissions per transaction that apply, by nature, only to interbank collections, that explains the pricing discrepancies described above.</w:t>
      </w:r>
    </w:p>
    <w:p>
      <w:r>
        <w:t>202. It therefore appears very likely that interbank commissions have an impact on the pricing of creditor clients. This influence can also be highlighted by an analysis of the prices charged by banks to creditors.</w:t>
      </w:r>
    </w:p>
    <w:p>
      <w:r>
        <w:t>♦ Quantitative elements</w:t>
      </w:r>
    </w:p>
    <w:p>
      <w:r>
        <w:t>203. The impact of interbank commissions on client pricing has already been analyzed by the European Commission and the Competition Authority, particularly regarding payment cards.</w:t>
      </w:r>
    </w:p>
    <w:p>
      <w:r>
        <w:t>204. Thus, in the aforementioned Visa-MIF decision, the Commission explained that "in practice, it is the amount of the CMI [Multilateral Interchange Commission] that largely determines the service commission paid by the merchant"146 for card collections. Similarly, in its Mastercard decision of December 19, 2007, the Commission emphasized that the CMIs applied to card payment transactions were taken into account in the prices paid by merchants for these collections: "the multilateral rule sets the level of interchange commission rates for all acquiring banks, which inflates the base on which they rely to set the fees charged to merchants. The prices set by acquiring banks would be lower if the multilateral rule did not exist and if the "entire pricing takes into account the fact that we will be prioritized with the direct debit notices drawn on our cash, which represent a share of [confidential %]" (Cote 5352).</w:t>
      </w:r>
    </w:p>
    <w:p>
      <w:r>
        <w:rPr>
          <w:b/>
        </w:rPr>
        <w:t>[Pages 49–51]</w:t>
      </w:r>
    </w:p>
    <w:p>
      <w:r>
        <w:t>the system provided for a rule prohibiting post-pricing. (...) This results in a restriction of competition through pricing among acquiring banks to the detriment of merchants (and their customers)"147. The Court of Justice of the European Union in judgment T-111/08, cited above, reinforced this assessment by specifying in paragraph 134 that: "(...) [i]t can reasonably be considered that the CMI, by allowing transparency among acquiring banks regarding the level of interchange fees applied to transactions, facilitate their pass-through to merchants of all commissions or, at the very least, a substantial part of them, with acquiring banks assured that the induced increase in the amount of MSC [merchant pricing for collections] will not impact their competitive position."</w:t>
      </w:r>
    </w:p>
    <w:p>
      <w:r>
        <w:t>205. In the same vein, the Competition Authority noted, in decision No. 11-D-11 concerning the Groupement des Cartes Bancaires, that the rates applied by banks to merchants were generally equal to or higher than the level of the interbank commission per transaction on card payments148. Regarding the interbank commission applied to card withdrawals, the decision noted elements suggesting that this commission was also passed on to the clients of the banks paying the commission, namely the cardholders149.</w:t>
      </w:r>
    </w:p>
    <w:p>
      <w:r>
        <w:t>206. In the present case, it is necessary to successively analyze the commissions paid by creditors for each payment operation by direct debit, TIP, and telepayment, as well as the rejection commissions corresponding to these means of payment.</w:t>
      </w:r>
    </w:p>
    <w:p>
      <w:r>
        <w:t>207. In order to determine whether the interbank commissions on direct debits, TIP, and telepayments have an impact on the pricing of creditors, the services of the Authority sent a questionnaire to banks on December 1, 2011, particularly concerning the pricing of the main clients of the banks in terms of transaction volumes. This questionnaire was supplemented on January 18, 2012, by a request for information regarding the pricing of rejections for the main creditor clients of the banks150.</w:t>
      </w:r>
    </w:p>
    <w:p>
      <w:r>
        <w:t>208. The analysis focuses on the pricing of the main clients, which are by nature the most competitive. Indeed, these large clients have greater negotiating power due to their volume of collections and thus increase competition among banks. It is customary for these negotiations to take the form of calls for tenders. Furthermore, it is observed that these large clients are frequently multi-banked, which facilitates price and service comparisons among different banks and would serve to enhance competition.</w:t>
      </w:r>
    </w:p>
    <w:p>
      <w:r>
        <w:t>209. The analysis of the rates for the largest clients of the banks allows for the determination of whether these interbank commissions play a role as a price floor. However, it should be noted that, regarding direct debits, for a number of creditors, banks offer a single rate for interbank and intrabank direct debits. However, the rates for intrabank direct debits can be up to 10 cents lower than those for interbank direct debits. A single rate derived from an average of these two operations is thus necessarily lower than that which would be applied to interbank collections if the rates were differentiated.</w:t>
      </w:r>
    </w:p>
    <w:p>
      <w:r>
        <w:t xml:space="preserve">147 §408 to 410.  </w:t>
        <w:br/>
        <w:t xml:space="preserve">148 §123 to 130.  </w:t>
        <w:br/>
        <w:t xml:space="preserve">149 §138-139.  </w:t>
        <w:br/>
        <w:t>150 The supplementary questions were not sent to the Banque de France. Furthermore, they could not be sent to Crédit du Nord due to the late response of this bank to the questionnaire of December 1, 2011.</w:t>
      </w:r>
    </w:p>
    <w:p>
      <w:r>
        <w:t>210. This analysis was conducted for the following institutions: Banque de France, Crédit Mutuel-CIC, HSBC, BNP Paribas, La Banque Postale, Société Générale, Crédit du Nord, Crédit Agricole (which provided data on CA CIB), LCL, and BPCE. Regarding BPCE, the analysis focused on the two main entities of the group in terms of transaction volumes, namely Bred and Natixis. However, some banks could not provide all the necessary data for calculating an average price for interbank collections; therefore, the results will only be indicated for the institutions that provided all the necessary data, namely prices and volumes of interbank collections for each of their main clients. These institutions represent approximately two-thirds of the volumes of interbank collections.</w:t>
      </w:r>
    </w:p>
    <w:p>
      <w:r>
        <w:t>211. Subject to point 209, the average prices calculated for the different banks are detailed below, compared to the level of interbank commissions applied to direct debits, TIP, and telepayment, namely €0.122, €0.076, and €0.137, respectively:</w:t>
      </w:r>
    </w:p>
    <w:p>
      <w:r>
        <w:t xml:space="preserve">Average price  </w:t>
        <w:br/>
        <w:t xml:space="preserve">direct debit Average price Average price  </w:t>
        <w:br/>
        <w:t xml:space="preserve">(ordinary) TIP telepayment  </w:t>
        <w:br/>
        <w:t xml:space="preserve">Bank  </w:t>
        <w:br/>
        <w:t xml:space="preserve">Reminder:  </w:t>
        <w:br/>
        <w:t xml:space="preserve">level of the  </w:t>
        <w:br/>
        <w:t xml:space="preserve">ICM €0.122 €0.076 €0.137  </w:t>
        <w:br/>
        <w:t xml:space="preserve">[confidential] €0.135 €0.135 €0.152  </w:t>
        <w:br/>
        <w:t xml:space="preserve">[confidential] €0.125 €0.090 €0.135  </w:t>
        <w:br/>
        <w:t xml:space="preserve">[confidential] €0.106 €0.119 NA  </w:t>
        <w:br/>
        <w:t xml:space="preserve">[confidential] €0.120 €0.082 €0.183  </w:t>
        <w:br/>
        <w:t xml:space="preserve">[confidential] €0.125 €0.178 €0.20  </w:t>
        <w:br/>
        <w:t xml:space="preserve">[confidential] €0.117 €0.133 €0.161  </w:t>
        <w:br/>
        <w:t xml:space="preserve">NA (&gt;€0.076  </w:t>
        <w:br/>
        <w:t xml:space="preserve">[confidential] €0.118 €) NA  </w:t>
        <w:br/>
        <w:t>[confidential] €0.130 €0.105 €0.265</w:t>
      </w:r>
    </w:p>
    <w:p>
      <w:r>
        <w:t>212. The preliminary assessment observed that regarding TIP and telepayment, the average prices for large clients are almost all higher than the level of interbank commissions. There is only one exception regarding telepayment, where the average price of one bank is €0.135, which is very slightly less than the amount of the interbank commission applicable to this means of payment (€0.137).</w:t>
      </w:r>
    </w:p>
    <w:p>
      <w:r>
        <w:t>213. Regarding direct debits, and despite the previously mentioned reservation, the average prices for large clients are all either higher or extremely close (less than 5% difference) to the interbank commission. One bank stands out by showing an average rate for large clients that is 13% lower than the level of the interbank commission.</w:t>
      </w:r>
    </w:p>
    <w:p>
      <w:r>
        <w:t>214. Furthermore, it is possible to compare the processing costs of creditor banks – thus excluding the interbank commission – to the amounts that banks charge their creditor clients.</w:t>
      </w:r>
    </w:p>
    <w:p>
      <w:r>
        <w:t>215. Regarding the processing costs of creditor banks, the preliminary assessment concludes that they are likely low, as indicated by BPCE: "For a direct debit that is processed normally (i.e., without incident requiring human intervention), the work of the banks is reduced in that most processes are automated: the creditor's bank performs a control of the magnetic submissions it receives before proceeding to its presentation to the clearing system"151. Similarly, the pricing proposal to EDF from [BANK 11] concerns a rate for an interbank direct debit of "new interbank CIP + processing costs of €0.0045," and for an intrabank direct debit of "new CIP intra + processing costs of €0.0025"152. The processing costs of a direct debit by the bank would thus only be around €0.25 or €0.45 at most, depending on whether the direct debit is intrabank or not. It can also be observed that the difference in processing costs corresponds to the level of fees charged by the clearing system to both banks involved in the payment. This analysis highlights that the prices applied to creditors are disproportionate to the processing costs of creditor banks.</w:t>
      </w:r>
    </w:p>
    <w:p>
      <w:r>
        <w:t>216. Finally, this analysis allows us to observe that the role of price floor played by interbank commissions takes into account a slight and recent competitive pressure on client rates related to the advent of SEPA. The hearing of the independent financial services consulting firm perfectly illustrates this situation: "a clear evolution in the offers of banks has been observed regarding direct debits, which has resulted in lower client commissions than before, for nearly a year and a half. Due to the progress of work on SEPA and the European regulations adopted on the subject, banks, at least some, anticipate reductions in interchange commissions. The level of 8.8 cents, currently applicable only to cross-border transactions, seems to serve as a reference for several banks, and negotiations revolve around this amount today. Some banks even anticipate even lower interchange levels and are positioning themselves accordingly to attract clients"153.</w:t>
      </w:r>
    </w:p>
    <w:p>
      <w:r>
        <w:t>217. In conclusion, it appears that the interbank commissions per transaction applied to direct debits, TIP, and telepayments are also likely to constitute a restriction of competition by effect.</w:t>
      </w:r>
    </w:p>
    <w:p>
      <w:r>
        <w:t>Commissions collected from creditors on rejections of direct debits, TIP, and telepayments</w:t>
      </w:r>
    </w:p>
    <w:p>
      <w:r>
        <w:t>218. Regarding rejections, the analysis of the rates applied to the largest creditors calls for the following observations:</w:t>
        <w:br/>
        <w:t xml:space="preserve">- First, it appears that some creditor clients (less than 10% of the clients indicated by the banks) are exempt from commissions for rejections. This is all the more surprising as banks claim that these operations compensate a service to creditors;  </w:t>
        <w:br/>
        <w:t xml:space="preserve">151 Minutes of the hearing of BPCE on October 20, 2011, Cote 5248.  </w:t>
        <w:br/>
        <w:t xml:space="preserve">152 Cotes 5109-5110 (8847-8848 for the VNC).  </w:t>
        <w:br/>
        <w:t>153 Cotes 8695 (9388 for the VNC).</w:t>
      </w:r>
    </w:p>
    <w:p>
      <w:r>
        <w:rPr>
          <w:b/>
        </w:rPr>
        <w:t>[Pages 52–54]</w:t>
      </w:r>
    </w:p>
    <w:p>
      <w:r>
        <w:t>- on the contrary, other creditor clients are charged at particularly high levels for rejections ranging from €1.5/€2 to several tens of euros. This is likely to be a dissuasive pricing or pricing in exchange for a reduced level of remuneration on another billing item. The latter situation is very likely that of [Client 12] of HSBC, which is not charged per transaction on collections and for which the bank specifies "exempt but unpaid charged €3.05"154;</w:t>
        <w:br/>
        <w:t>- for the vast majority of other clients, the billing for these operations is established between €0.70 and €0.90, which is at a level close to or higher than that of the interbank commission applied to rejections (€0.762). BNP Paribas notably charges some of these creditors to the nearest thousandth at the level of the interbank commission for rejections by direct debit, TIP, or telepayment.</w:t>
      </w:r>
    </w:p>
    <w:p>
      <w:r>
        <w:t>219. Consequently, the commissions on rejections are also likely to constitute a floor price for the billing of creditors for rejections of direct debits, TIP, or telepayment.</w:t>
      </w:r>
    </w:p>
    <w:p>
      <w:r>
        <w:t>220. It follows from the above that all interbank commissions on direct debits, TIP, and telepayments, both per transaction and exceptional, are likely to significantly influence the rates established by banks towards their creditor clients.</w:t>
      </w:r>
    </w:p>
    <w:p>
      <w:r>
        <w:t>221. The preliminary assessment thus concluded that these interbank commissions were likely to constitute restrictions of competition by object and/or by effect.</w:t>
      </w:r>
    </w:p>
    <w:p>
      <w:r>
        <w:t>3. THE JUSTIFICATION ELEMENTS PRESENTED BY THE BANKS</w:t>
      </w:r>
    </w:p>
    <w:p>
      <w:r>
        <w:t>222. The banks presented during the procedure elements that could justify, according to them, the existence of interbank commissions.</w:t>
      </w:r>
    </w:p>
    <w:p>
      <w:r>
        <w:t>223. Regarding transaction commissions, several institutions explained that these commissions remunerated services rendered by the debtor's bank to the creditor's bank, which would consist of processing the debit operation, carrying out all necessary checks, and taking measures to combat fraud. Other banks argued that interbank transaction commissions could encourage the use of efficient payment methods, as they would limit the billing of the debtor using direct debit or TIP preferentially, for example, over checks.</w:t>
      </w:r>
    </w:p>
    <w:p>
      <w:r>
        <w:t>224. The preliminary assessment did not accept these arguments. Indeed, when the debtor's bank processes a debit operation, it benefits both the creditor and the debtor. There is no reason to justify that only the creditor/creditor's bank pair bears all the costs of the payment service. Moreover, the debtor already bears several types of fees related to the payment methods studied. Finally, the preliminary assessment expressed reservations about the need for debtors to be incentivized to use payment methods like direct debit, which have undeniable practical and security advantages for debtors.</w:t>
      </w:r>
    </w:p>
    <w:p>
      <w:r>
        <w:t>225. Regarding exceptional commissions, the regulatory framework concerning SEPA direct debits and the principles recalled in decision No. 11-D-11 relating to the Groupement des Cartes Bancaires of the Authority allow for such commissions to be justified if they particularly meet the following criteria:</w:t>
        <w:br/>
        <w:t>- they are paid by the bank that is, or whose client is, the origin of the service;</w:t>
        <w:br/>
        <w:t>- their amount is proportionate to the cost of the service and is set in reference to the cost of the most efficient bank.</w:t>
      </w:r>
    </w:p>
    <w:p>
      <w:r>
        <w:t>226. The preliminary assessment considered that the AOCT and DRE commissions could be justified in principle but also noted that the banks did not have studies explaining the level of these commissions.</w:t>
      </w:r>
    </w:p>
    <w:p>
      <w:r>
        <w:t>227. As the banks requested the use of the commitments procedure and proposed (see below) to eliminate transaction commissions, the Authority considers that it is not necessary to analyze in more detail the arguments put forward by the banks regarding these commissions. As for the exceptional commissions, the banks having proposed to specify the services covered by the rejection commissions and to conduct a cost study on all exceptional commissions, they will be analyzed in more detail in the "Discussion" section.</w:t>
      </w:r>
    </w:p>
    <w:p>
      <w:r>
        <w:t>G. IMPLEMENTATION OF THE COMMITMENTS PROCEDURE</w:t>
      </w:r>
    </w:p>
    <w:p>
      <w:r>
        <w:t>1. THE COMMITMENTS INITIALLY PROPOSED BY THE BANKS AND THE FBF</w:t>
      </w:r>
    </w:p>
    <w:p>
      <w:r>
        <w:t>228. To address the competition concerns raised by the preliminary assessment and to end the procedure, the banks on one hand and the FBF on the other submitted on April 6, 2012, to the Competition Authority a commitment offer. A summary of the competition concerns and the commitments proposed by the parties was posted online on April 10, 2012, on the Authority's website to gather any observations from interested third parties.</w:t>
      </w:r>
    </w:p>
    <w:p>
      <w:r>
        <w:t>229. In this offer, the parties proposed commitments in two phases. In the first phase, all interbank commissions would be reduced by 50% upon the entry into force of the commitments (which would occur on the first day of the civil quarter following the notification of the commitment decision, with a minimum period of two months between the date of said notification and the first day of the civil quarter).</w:t>
      </w:r>
    </w:p>
    <w:p>
      <w:r>
        <w:t>230. The proposed levels of interchange commissions would thus be adjusted as follows:</w:t>
        <w:br/>
        <w:t>- for domestic direct debits, the commission would decrease from €0.122 to €0.061;</w:t>
        <w:br/>
        <w:t>- for TIP and telepayments: the commissions would decrease respectively from €0.076 to €0.038 and from €0.137 to €0.068;</w:t>
        <w:br/>
        <w:t>- the transaction commission on bills of exchange would decrease from €0.122 to €0.061;</w:t>
        <w:br/>
        <w:t>- the commission on rejected operations (for direct debit, TIP, and telepayment) would decrease from €0.762 to €0.381;</w:t>
        <w:br/>
        <w:t>- the commission on DRE would decrease from €0.610 to €0.305;</w:t>
        <w:br/>
        <w:t>- finally, an alignment of the AOCT commission on direct debit, TIP, telepayment, and transfer with the AOCT commission applicable for cards is proposed, which corresponds to a reduction of more than 50% of this commission (from €0.610 to €0.290);</w:t>
      </w:r>
    </w:p>
    <w:p>
      <w:r>
        <w:t>231. In the second phase, the interbank transaction commissions would be completely eliminated by February 1, 2014.</w:t>
      </w:r>
    </w:p>
    <w:p>
      <w:r>
        <w:t>232. The banks also proposed to have a cost study on exceptional commissions conducted by an independent firm of economists and to adjust the amount of the concerned commissions based on the results of this study.</w:t>
      </w:r>
    </w:p>
    <w:p>
      <w:r>
        <w:t>233. To summarize, the proposed evolution in April 2012 of the amounts of interbank commissions in euros was as follows:</w:t>
      </w:r>
    </w:p>
    <w:p>
      <w:r>
        <w:t>234. The banks finally proposed to implement the commitments for a duration of four years.</w:t>
      </w:r>
    </w:p>
    <w:p>
      <w:r>
        <w:t>235. To facilitate the implementation of the commitments proposed by the banks, the FBF proposed to inform its members of the commitments jointly undertaken by the banks within fifteen days following the notification of the Authority's decision making them mandatory.</w:t>
      </w:r>
    </w:p>
    <w:p>
      <w:r>
        <w:t>2. OBSERVATIONS RECEIVED DURING THE MARKET TEST</w:t>
      </w:r>
    </w:p>
    <w:p>
      <w:r>
        <w:t>236. Observations were made on May 10, 2012, by the following companies and organizations: the Central Agency of Social Security Organizations (ACOSS), Allianz, the Association for the Defense of Users of European Payment Methods (ADUMPE), Axa, Bouygues Telecom, Canal+, the General Confederation of Small and Medium Enterprises (CGPME), the French Commerce Council, EDF, the FCD, GDF SUEZ, Leroy Merlin, Poweo, Saur, SFR, UFC Que Choisir, Veolia, Vinci Park, and Vivendi.</w:t>
      </w:r>
    </w:p>
    <w:p>
      <w:r>
        <w:t>237. Eurocommerce communicated its observations to the Authority on May 14, 2012, four days after the deadline given to third parties to respond to the market test expired.</w:t>
      </w:r>
    </w:p>
    <w:p>
      <w:r>
        <w:rPr>
          <w:b/>
        </w:rPr>
        <w:t>[Pages 55–57]</w:t>
      </w:r>
    </w:p>
    <w:p>
      <w:r>
        <w:t>Therefore, its observations are inadmissible and have not been taken into account in the analysis of the commitments initially proposed by the parties.</w:t>
      </w:r>
    </w:p>
    <w:p>
      <w:r>
        <w:t>238. In their observations, the companies and associations primarily contest the use of a commitment procedure as well as the nature of the commitments proposed by the banks regarding systematic commissions, the insufficient nature of the commitments proposed by the banks regarding exceptional commissions, and finally the implementation timelines, the duration of the commitments proposed by the banks, as well as the control mechanisms for these commitments.</w:t>
      </w:r>
    </w:p>
    <w:p>
      <w:r>
        <w:t>239. On the merits, the companies observe that the proposal from the banks and the FBF does not explain how the submitted commitments are appropriate and could resolve the identified competition issues. They believe that additional commitments would be essential to address the competition concerns.</w:t>
      </w:r>
    </w:p>
    <w:p>
      <w:r>
        <w:t>a) Observations of the claimants and members of the ADUMPE</w:t>
      </w:r>
    </w:p>
    <w:p>
      <w:r>
        <w:t>(i) The commitments regarding systematic commissions proposed by the banks</w:t>
      </w:r>
    </w:p>
    <w:p>
      <w:r>
        <w:t>240. The contributions observe that the commitments proposed for systematic commissions in the operation "suffer from a lack of objectivity." They regret the absence of methodological consideration supporting the choice of the date for their elimination (February 1, 2014) and the level of their reduction (by half) during the transition period.</w:t>
      </w:r>
    </w:p>
    <w:p>
      <w:r>
        <w:t>241. All responses to the market test from creditors or their associations demand the immediate elimination of systematic commissions in the operation, which alone could address the competition concerns raised in the preliminary assessment. The ADUMPE and certain companies such as SFR or Canal+ in particular wish that the banks commit to refunding the amounts collected for the pass-through of interbank commissions since the date on which the banks requested the use of the commitment procedure.</w:t>
      </w:r>
    </w:p>
    <w:p>
      <w:r>
        <w:t>(ii) The commitments regarding exceptional commissions</w:t>
      </w:r>
    </w:p>
    <w:p>
      <w:r>
        <w:t>242. The contributions addressing these commissions unanimously wish for the banks to commit to distinguishing rejection commissions based on the attribution of the cause of the rejection and to apply interbank rejection commissions only in cases where the cause of the rejection is attributable to the creditor.</w:t>
      </w:r>
    </w:p>
    <w:p>
      <w:r>
        <w:t>(iii) The proposed modalities for adjusting the costs of exceptional commissions charged on transactions R</w:t>
      </w:r>
    </w:p>
    <w:p>
      <w:r>
        <w:t>243. The contributions also believe that the banks must commit to conducting a cost study for calculating the amount of exceptional commissions attributable to the creditor within a timeframe of approximately 3 to 6 months, to make this study public, and to enable the complainants and the investigation services of the Competition Authority to assess its compliance with the criteria of Community Regulation No. 260/2012.</w:t>
      </w:r>
    </w:p>
    <w:p>
      <w:r>
        <w:t>244. On this last point, the companies request that the banks demonstrate compliance with the conditions set by Regulation (EU) No. 260/2012 for the establishment of a rejection commission:</w:t>
        <w:br/>
        <w:t>- costs attributed efficiently;</w:t>
        <w:br/>
        <w:t>- commissions strictly based on costs;</w:t>
        <w:br/>
        <w:t>- a commission level not exceeding the actual cost of processing;</w:t>
        <w:br/>
        <w:t>- the absence of billing for any other commission related to costs covered by rejection commissions;</w:t>
        <w:br/>
        <w:t>- the absence of an alternative system with an equivalent purpose or effect.</w:t>
      </w:r>
    </w:p>
    <w:p>
      <w:r>
        <w:t>245. Finally, many companies demand that the billing of all exceptional commissions be suspended until the cost study is completed.</w:t>
      </w:r>
    </w:p>
    <w:p>
      <w:r>
        <w:t>(iv) The modalities for implementing and controlling the commitments proposed by the banks</w:t>
      </w:r>
    </w:p>
    <w:p>
      <w:r>
        <w:t>246. Creditors and their associations believe that the banks unjustifiably limit the duration of their commitments regarding exceptional commissions to four years. This duration would be set arbitrarily.</w:t>
      </w:r>
    </w:p>
    <w:p>
      <w:r>
        <w:t>247. Furthermore, the companies consider that the banks have sought to buy time on the implementation timeline of the commitments by delaying their entry into force by one quarter after the potential decision. No objective reason would justify granting such a delay to address the competition concerns.</w:t>
      </w:r>
    </w:p>
    <w:p>
      <w:r>
        <w:t>248. The companies also note that no publicity measures or control mechanisms for the commitments undertaken have been provided by the banks. According to them, it would be essential for an independent third party to report to the Authority on their proper implementation.</w:t>
      </w:r>
    </w:p>
    <w:p>
      <w:r>
        <w:t>(v) The commitments of the AFB/FBF</w:t>
      </w:r>
    </w:p>
    <w:p>
      <w:r>
        <w:t>249. According to the creditors and their associations, the proposal for commitments on interbank commissions should be formulated by both the banks and the AFB and the FBF.</w:t>
      </w:r>
    </w:p>
    <w:p>
      <w:r>
        <w:t>250. They also contest the fact that the FBF claims to be "not at all concerned" by the competition concerns expressed in the preliminary assessment note, even though representatives of the professional organization of the APB participated in the meetings as evidenced by the elements of the file. In these conditions, many responses to the market test request that the AFB and the FBF ensure the effective application of the commitments by all their members.</w:t>
      </w:r>
    </w:p>
    <w:p>
      <w:r>
        <w:t>b) Observations of UFC-Que Choisir</w:t>
      </w:r>
    </w:p>
    <w:p>
      <w:r>
        <w:t>251. The observations of UFC-Que Choisir particularly concern the gradual increase in the amount of commissions and the fact that banks would charge, in addition to interbank commissions, fees from consumers.</w:t>
      </w:r>
    </w:p>
    <w:p>
      <w:r>
        <w:t>(i) The gradual increase in the amount of commissions</w:t>
      </w:r>
    </w:p>
    <w:p>
      <w:r>
        <w:t>252. UFC-Que Choisir observes that most commissions have experienced a significant increase between the date of their creation and today, whereas two factors should have led to a decrease in costs:</w:t>
        <w:br/>
        <w:t>- economies of scale generated by the constant increase in processed volumes;</w:t>
        <w:br/>
        <w:t>- the significant decrease in the cost of automated operations (processing costs and telecommunication costs) due to the advent of computing and telecommunications networks.</w:t>
      </w:r>
    </w:p>
    <w:p>
      <w:r>
        <w:t>253. According to UFC-Que Choisir, this non-pass-through of economies of scale on the level of commissions paid by the invoicer - and thus ultimately by the consumer - has been observed in the payment compensation system. Until the end of the 1980s, payments (and notably direct debits) went through a decentralized system of clearing houses. In 1992, this system was replaced by a single system, the SIT (Interbank Telecompensation System), allowing for the automation of exchanges (transfers, direct debits) from the issuing client of the payment order to the receiving client. This system gradually took on other means of payment than transfers and direct debits: bank cards (from 1995), telepayments from their creation in 1997, checks from 2002. This has significantly reduced unit costs.</w:t>
      </w:r>
    </w:p>
    <w:p>
      <w:r>
        <w:t>254. UFC-Que Choisir notes that an assessment of this system was made in the Bulletin de la Banque de France which indicates that: "The exchanges carried out in the SIT have experienced a constant increase, which has significantly reduced the unit processing costs, particularly given the importance of fixed costs in this type of processing." Regarding pricing, the same article mentions that: "The economies of scale resulting from the importance of processed volumes (nearly 45 million operations on average per day in September 2002) allow the SIT to obtain a particularly attractive rate, which is currently set at 0.0252 euro cents per operation."</w:t>
      </w:r>
    </w:p>
    <w:p>
      <w:r>
        <w:t>255. Thus, taking the example of direct debits, the commission on this payment method was successively raised in 1993 (to 0.75 F) and 1995 (0.80 F) and has never decreased since, even though the SIT was in the process of reducing the cost of transactions for banks.</w:t>
      </w:r>
    </w:p>
    <w:p>
      <w:r>
        <w:t>256. UFC-Que Choisir asserts that at its level in 1995, the interbank commission on each direct debit thus represented 726 times the cost for the bank of processing this direct debit in the SIT. This would demonstrate that the commission levels set by the banks are completely inconsistent with the actual costs incurred.</w:t>
      </w:r>
    </w:p>
    <w:p>
      <w:r>
        <w:t>257. Finally, the SIT was replaced by the CORE system starting in 2008. According to the general director of STET (the company managing CORE), CORE processes an average of 55 million payments per day and has allowed for a "decrease in the billing level." UFC-Que Choisir considers that the cost of processing a direct debit in CORE is now closer than ever to zero, without any modification of the commission structure having been made downwards.</w:t>
      </w:r>
    </w:p>
    <w:p>
      <w:r>
        <w:rPr>
          <w:b/>
        </w:rPr>
        <w:t>[Pages 58–60]</w:t>
      </w:r>
    </w:p>
    <w:p>
      <w:r>
        <w:t>paiement. Ces accords portent sur la fixation des commissions interbancaires et des frais appliqués aux consommateurs.</w:t>
      </w:r>
    </w:p>
    <w:p>
      <w:r>
        <w:t>269. Les éléments de preuve recueillis montrent que ces accords ont pour effet de restreindre la concurrence sur le marché des moyens de paiement, en permettant aux banques de coordonner leurs pratiques tarifaires et d'imposer des frais supplémentaires aux consommateurs.</w:t>
      </w:r>
    </w:p>
    <w:p>
      <w:r>
        <w:t>270. En conséquence, il apparaît que les pratiques en cause sont susceptibles d'affecter le commerce entre États membres, en entravant la libre concurrence et en nuisant aux intérêts des consommateurs.</w:t>
      </w:r>
    </w:p>
    <w:p>
      <w:r>
        <w:t>271. L'Autorité de la concurrence considère donc que les engagements proposés par les banques et la FBF, tels que modifiés en séance, constituent une réponse appropriée aux préoccupations de concurrence identifiées et sont de nature à rétablir une concurrence effective sur le marché des moyens de paiement.</w:t>
      </w:r>
    </w:p>
    <w:p>
      <w:r>
        <w:rPr>
          <w:b/>
        </w:rPr>
        <w:t>[Pages 61–63]</w:t>
      </w:r>
    </w:p>
    <w:p>
      <w:r>
        <w:t>the payment practices aimed at the general public and merchants in France. These potential practices would tend to set for the French territory the amount of systematic commissions for each means of payment. These agreements are concluded and applied at the national level, across the entirety of French territory, by companies of international stature.</w:t>
      </w:r>
    </w:p>
    <w:p>
      <w:r>
        <w:t>269. Regarding banking activity related to means of payment, account must be taken of the very nature of these payment operations, which may also involve cross-border payments. Furthermore, it should be recalled that the European and national regulations of recent years, mentioned above, aim to establish the single banking market and the "SEPA" project. These various means of payment are therefore expected to have a European dimension.</w:t>
      </w:r>
    </w:p>
    <w:p>
      <w:r>
        <w:t>270. In this regard, it can be recalled that non-cash payment methods other than cards and checks represented over 40% of payment transactions by volume in France in 2010. These payment transactions are exchanged both through the French banking system and within the European or even international banking system.</w:t>
      </w:r>
    </w:p>
    <w:p>
      <w:r>
        <w:t>271. Moreover, competition among banks in Europe compels a foreign bank wishing to enter the French market to be present in the retail banking market. Indeed, while the difficulty for foreign banks to penetrate the national market for retail banking services primarily stems from the absence of local agency networks, this barrier to entry does not hold the same significance for access to the market for corporate banking services, which constitute the main potential clientele for foreign banks. Evidence of this is found in the file, which presents several pricing proposals made to French creditors by foreign banks that have little or no banking agencies located in France.</w:t>
      </w:r>
    </w:p>
    <w:p>
      <w:r>
        <w:t>272. Thus, in response to a call for tenders, a foreign bank stated that "the interbank commissions applicable over the next three years (the duration of the mandate in question) and the absence of market share of [this foreign bank] in retail banking in France do not allow us to make a sufficiently competitive offer to be selected. Therefore, (...), we are compelled to withdraw the offer." Similarly, another foreign bank specifies that "not having a domestic network in France, [foreign bank] systematically pays an interchange fee. In order to demonstrate our willingness (...) and to invest in this project, [this foreign bank] will bear the management costs of the collection and will charge (...) less than the interchange fee."</w:t>
      </w:r>
    </w:p>
    <w:p>
      <w:r>
        <w:t>273. In the present case, the behaviors in question appear to implement horizontal agreements related to pricing conditions that apply to national transactions and are likely to distort competition in the French market.</w:t>
      </w:r>
    </w:p>
    <w:p>
      <w:r>
        <w:t>274. Such practices would affect all credit and payment institutions managing interbank collections in France, with a concerned turnover significantly exceeding 40 million euros.</w:t>
      </w:r>
    </w:p>
    <w:p>
      <w:r>
        <w:t>275. It follows from all these elements that trade between Member States is likely to be significantly affected by the practices in question.</w:t>
      </w:r>
    </w:p>
    <w:p>
      <w:r>
        <w:t>276. The Competition Authority therefore considers that the practices in question must be examined in light of European competition law, alongside the application of national law.</w:t>
      </w:r>
    </w:p>
    <w:p>
      <w:r>
        <w:t>B. ON THE RELEVANCE OF THE COMMITMENT PROCEDURE</w:t>
      </w:r>
    </w:p>
    <w:p>
      <w:r>
        <w:t>1. ARGUMENTS OF THE APPLICANTS</w:t>
      </w:r>
    </w:p>
    <w:p>
      <w:r>
        <w:t>277. In their oral interventions during the session, the applicants contested the use of the commitment procedure.</w:t>
      </w:r>
    </w:p>
    <w:p>
      <w:r>
        <w:t>278. The ADUMPE argued that the setting of multilateral interchange commissions constitutes a price-fixing agreement between banking institutions, falling into the categories of particularly serious collusions for which the Authority has indicated it does not apply the commitment procedure in its procedural communication of March 2, 2009, regarding commitments in competition matters.</w:t>
      </w:r>
    </w:p>
    <w:p>
      <w:r>
        <w:t>279. The FCD recalled the conditions set forth by the aforementioned procedural communication to fall within the scope of the commitment procedure and invited the Authority to verify that all these conditions were met.</w:t>
      </w:r>
    </w:p>
    <w:p>
      <w:r>
        <w:t>280. The two applicants also noted, during the session, that the banks had not sought to justify either the principle or the amount of these multilateral interbank commissions.</w:t>
      </w:r>
    </w:p>
    <w:p>
      <w:r>
        <w:t>2. ASSESSMENT</w:t>
      </w:r>
    </w:p>
    <w:p>
      <w:r>
        <w:t>281. Article 5 of Regulation No. 1/2003 of the Council of December 16, 2002, concerning the implementation of the competition rules provided for in Articles [101] and [102 of the TFEU], provides that national competition authorities are competent to "accept commitments."</w:t>
      </w:r>
    </w:p>
    <w:p>
      <w:r>
        <w:t>282. Section I of Article L. 464-2 of the Commercial Code thus allows the Competition Authority to "accept commitments proposed by companies or organizations that are likely to address its competition concerns that may constitute prohibited practices referred to in Articles L. 420-1, L. 420-2, and L. 420-5."</w:t>
      </w:r>
    </w:p>
    <w:p>
      <w:r>
        <w:t>283. In the procedural communication it published on March 2, 2009, to clarify the practical modalities under which it may be led to accept such commitments, on the one hand, and to summarize its decision-making practice on this matter, on the other hand, the Authority explained that it does not resort to this instrument "in cases where, in any event, the infringement of public economic order necessitates the imposition of monetary sanctions, which notably excludes a priori particularly serious collusions such as cartels and certain abuses of dominant position that have already caused significant harm to the economy" (point 11; see also point 6). It also specified that this tool appeared "particularly suitable," given its decision-making practice at this stage, in the presence of "certain unilateral or vertical practices whose effect would be to restrict access to a market" (points 10 and 12).</w:t>
      </w:r>
    </w:p>
    <w:p>
      <w:r>
        <w:t>284. The Authority also recalled that the use of commitments involves meeting several conditions. First, the competition concerns raised by the behaviors in question must be "still current" (point 9; see also point 5), meaning that these behaviors must continue or that their impact on competition must still be felt at the time when the companies concerned propose commitments and when the Authority determines the appropriateness of resorting to them. Second, the nature and modalities of the behaviors in question must be such that it is possible to sustainably remedy the concerns they raise through commitments ensuring the maintenance or restoration of competition (point 9; see also points 6 and 45). In this regard, the mere commitment to cease a behavior that may constitute an infringement – and thus to comply with the law – holds no value in itself; commitments must go further by ensuring the sustainable restoration and maintenance of competition through positive measures that directly alter the situation or behavior of the company or companies concerned in the market. This is why the implementation of the commitment procedure is not feasible, particularly in the case of a cartel. Third, the Authority, as is evident from the terms of the Commercial Code itself, is in no case obliged to accept and make commitments mandatory (point 40); it must assess whether it is appropriate to do so in light of the circumstances of the case at hand.</w:t>
      </w:r>
    </w:p>
    <w:p>
      <w:r>
        <w:t>285. These indications highlight that, while the use of commitments is not feasible in the presence of cartels and is generally not appropriate in cases of horizontal agreements, vertical agreements, or unilateral practices that may be particularly serious or have already caused significant harm to competition and the economy, it may, however, prove relevant when, given the nature of the facts, their characteristics, and their current or potential consequences on competition, the case lends itself to the Authority prioritizing an objective of maintaining or voluntarily restoring competition (point 6).</w:t>
      </w:r>
    </w:p>
    <w:p>
      <w:r>
        <w:t>286. In the present case, the practices implemented – which are indeed horizontal agreements – do not possess the secretive nature characteristic of cartels. Some of them can claim, as mentioned, justifications studied in the preliminary assessment. Furthermore, although they appear likely, following a preliminary assessment, to be anti-competitive due to their very object, and not only in light of their effects, and although they have been implemented for a certain duration, it is necessary to take into account several very specific circumstances.</w:t>
      </w:r>
    </w:p>
    <w:p>
      <w:r>
        <w:t>287. First, the proposals for commitments presented by the parties to the procedure occur simultaneously with the adoption, by the European Parliament and the Council of the Union, of European Regulation No. 260/2012 of March 14, 2012, establishing technical and commercial requirements for euro transfers and direct debits and amending Regulation (EC) No. 924/2009, which imposes, under certain conditions, the elimination of interchange fees, and sets a deadline for this purpose in February 2017.</w:t>
      </w:r>
    </w:p>
    <w:p>
      <w:r>
        <w:t>288. In this perspective, it appears appropriate, secondly, to follow up on the proposals for commitments presented by the companies concerned in order to modify without delay, on the one hand, interbank relations and, on the other hand, relations with their clients before this deadline.</w:t>
      </w:r>
    </w:p>
    <w:p>
      <w:r>
        <w:t>289. Finally, these companies representing the bulk of the market, the implementation of the commitment procedure is likely to ensure a profound modification of their behavior and a rapid and sustainable return to an effective competitive environment.</w:t>
      </w:r>
    </w:p>
    <w:p>
      <w:r>
        <w:rPr>
          <w:b/>
        </w:rPr>
        <w:t>[Pages 64–66]</w:t>
      </w:r>
    </w:p>
    <w:p>
      <w:r>
        <w:t>banques de paiement, qui prévoyait une différenciation des commissions de rejet en fonction de la responsabilité du rejet.</w:t>
      </w:r>
    </w:p>
    <w:p>
      <w:r>
        <w:t>313. En conséquence, l’Autorité considère que les banques doivent proposer une révision de leur proposition initiale afin de prendre en compte la responsabilité des parties dans les rejets. Cela permettrait d’assurer une plus grande transparence et d’encourager une meilleure gestion des opérations de paiement.</w:t>
      </w:r>
    </w:p>
    <w:p>
      <w:r>
        <w:t>E. SUR LES COMMISSIONS D’INTERCHANGE MULTILATÉRALES</w:t>
        <w:br/>
        <w:t>314. Les banques ont également proposé de revoir les commissions d’interchange multilatérales, en prévoyant leur suppression progressive. Cette proposition répond aux préoccupations de concurrence soulevées par l’Autorité, qui a souligné que ces commissions peuvent constituer un obstacle à l’entrée sur le marché pour de nouveaux acteurs.</w:t>
      </w:r>
    </w:p>
    <w:p>
      <w:r>
        <w:t>315. L’Autorité estime que la suppression progressive des commissions d’interchange multilatérales est une mesure appropriée pour favoriser la concurrence sur le marché des paiements. Elle permettra également de réduire les coûts pour les consommateurs et d’encourager l’innovation dans le secteur.</w:t>
      </w:r>
    </w:p>
    <w:p>
      <w:r>
        <w:t>F. CONCLUSION</w:t>
        <w:br/>
        <w:t>316. Au regard de l’ensemble des éléments présentés, l’Autorité considère que les engagements proposés par les banques répondent aux préoccupations de concurrence identifiées. La mise en œuvre de ces engagements devrait permettre de garantir un retour à un environnement concurrentiel effectif sur le marché des paiements.</w:t>
      </w:r>
    </w:p>
    <w:p>
      <w:r>
        <w:t>317. L’Autorité suivra de près la mise en œuvre de ces engagements et se réserve le droit d’intervenir si nécessaire pour garantir le respect des engagements pris par les banques.</w:t>
      </w:r>
    </w:p>
    <w:p>
      <w:r>
        <w:rPr>
          <w:b/>
        </w:rPr>
        <w:t>[Pages 67–69]</w:t>
      </w:r>
    </w:p>
    <w:p>
      <w:r>
        <w:t>in order to participate in an efficient functioning of payment systems, by discouraging erroneous transactions.</w:t>
      </w:r>
    </w:p>
    <w:p>
      <w:r>
        <w:t>312. This approach has been applied in the past by the Competition Authority in decision no. 11-D-11 accepting and making mandatory the commitments of the Groupement des Cartes Bancaires. It is furthermore identical to that defined in regulation "end dates" no. 260/2012, which only allows interbank commissions on R-transactions if several cumulative conditions are met, among which is the allocation of costs to the party responsible for the error.</w:t>
      </w:r>
    </w:p>
    <w:p>
      <w:r>
        <w:t>313. In their new proposal for commitments, the banks chose to replace the systematically applicable interbank commissions in the event of rejection with a commission of a different nature, which applies optionally in the event of rejection, in accordance with regulation no. 260/2012.</w:t>
      </w:r>
    </w:p>
    <w:p>
      <w:r>
        <w:t>1. THE OPTIONAL NATURE OF THE COMMISSION</w:t>
      </w:r>
    </w:p>
    <w:p>
      <w:r>
        <w:t>314. In their new proposal, the banks commit that only the service of making available or transmitting information regarding the existence and reason for the rejection will be subject to remuneration through an interbank commission.</w:t>
      </w:r>
    </w:p>
    <w:p>
      <w:r>
        <w:t>315. The service of making available or transmitting information regarding the existence and reason for the rejection is provided by the debtor's bank to the creditor's bank, which requests it on behalf of its client. The commission related to this service cannot be charged if the creditor has not expressly requested to benefit from this information. In this sense, the applicable interbank commission is optional, and not systematically due in the event of rejection.</w:t>
      </w:r>
    </w:p>
    <w:p>
      <w:r>
        <w:t>316. The provision of information on the reason for rejection can therefore be considered as a non-mandatory service rendered to the creditor. Regulation no. 260/2012 specifies, in its recital 20, that the application of CMI per transaction to optional additional services is not prohibited "as long as they are clearly and indisputably different from the basic direct debit services and that service providers and users of payment services are entirely free to offer or use these services." The same analysis applies in this case by analogy to CMIs for rejected transactions related to optional additional services.</w:t>
      </w:r>
    </w:p>
    <w:p>
      <w:r>
        <w:t>2. THE ADEQUACY OF THE COMMISSION TO COSTS</w:t>
      </w:r>
    </w:p>
    <w:p>
      <w:r>
        <w:t>317. It was agreed in the meeting that interbank commissions related to rejections could, under certain conditions, remunerate a service of making available or transmitting information regarding the existence and reason for the rejection. These conditions relate to the optional nature of the service, as well as the proportionality of the amount of the interbank commission to the cost incurred by the debtor's bank to provide this service. This is the purpose of the cost study that must be established (cf. infra).</w:t>
      </w:r>
    </w:p>
    <w:p>
      <w:r>
        <w:t>E. THE TIMELINES AND CONDITIONS FOR IMPLEMENTING THE COST STUDY ON EXCEPTIONAL COMMISSIONS</w:t>
      </w:r>
    </w:p>
    <w:p>
      <w:r>
        <w:t>318. The preliminary assessment observed and the banks confirmed that they could not justify the current amounts of exceptional commissions. The Authority recalled that in accordance with its practice and the principle set out in regulation "end dates" no. 260/2012, the amounts of all multilateral commissions must be strictly based on costs. The setting of amounts therefore requires the realization of cost studies, which the banks proposed from their first offer.</w:t>
      </w:r>
    </w:p>
    <w:p>
      <w:r>
        <w:t>319. However, the majority of contributions to the market test regret that the offer of commitments does not specify the cost reference retained for the adjustment of exceptional commissions. The reference to the cost of the most efficient bank is favored by creditor contributors.</w:t>
      </w:r>
    </w:p>
    <w:p>
      <w:r>
        <w:t>320. Furthermore, remarks were made regarding the timeline for conducting the cost study, which would be too long, as well as about its implementation conditions: the ADUMPE mentions the possibility of appointing an independent representative who would designate an independent economics firm in charge of the cost study. The Government Commissioner mentions the necessity of a "drafting supplement on the impartiality requirements of economists, which could be confirmed in this role by the Competition Authority."</w:t>
      </w:r>
    </w:p>
    <w:p>
      <w:r>
        <w:t>321. Regarding the cost reference to be favored in the study, the Competition Authority has, in previous cases, already favored a reference to the cost of the most efficient bank. This helps avoid the common nature of setting interbank commissions from having an inflationary impact on the pricing of bank clients. This reference is also the one retained in regulation no. 260/2012. Therefore, the banks have agreed to specify that the adjustment of exceptional commissions will be based on the cost of the most efficient bank as derived from the cost study. The commitments thus reflect the wording in c) Article 8-2 of regulation "end dates."</w:t>
      </w:r>
    </w:p>
    <w:p>
      <w:r>
        <w:t>322. As for the timeline of the cost study, the wording retained by the banks in their initial proposal was ambiguous: the banks indeed planned to conduct the cost study "in anticipation of the expiration of the duration of these commitments" (i.e., four years after the notification of the decision of commitments to the banks) and "from the technical convergence date set for February 1, 2014." It was therefore difficult to know whether the banks proposed that the cost study be conducted, and the updated commissions, by February 1, 2014, or only in 2016.</w:t>
      </w:r>
    </w:p>
    <w:p>
      <w:r>
        <w:t>323. In any case, the duration planned for conducting the cost study and adjusting the exceptional commissions seemed excessive, particularly given that similar studies on commissions of a similar nature have been completed in shorter timeframes. Furthermore, it is consistent that the adjustment of exceptional commissions based on the results of the cost study coincides with the definitive removal date of multilateral commissions per transaction.</w:t>
      </w:r>
    </w:p>
    <w:p>
      <w:r>
        <w:t>324. Regarding the conditions for conducting the cost study, the banks' proposal did not specify the modalities for appointing the economics firm responsible for conducting the cost study. In the meeting, the banks provided clarifications on this point, which appear in the modified commitments.</w:t>
      </w:r>
    </w:p>
    <w:p>
      <w:r>
        <w:t>325. Taking into account the observations made in the meeting and in accordance with point 35 of the procedural notice of March 2, 2009, regarding commitments in competition matters, the banks modified their commitments by agreeing that the terms of reference for the cost study would be validated by the Authority, which will organize a contradictory session for this purpose no later than December 31, 2012, in the presence of the FCD and the ADUMPE.</w:t>
      </w:r>
    </w:p>
    <w:p>
      <w:r>
        <w:t>326. To reinforce the seriousness of their commitments, the banks committed in the meeting to suspend the application of multilateral interbank commissions as of September 1, 2013, in the event of non-compliance of the cost study or delay in its realization.</w:t>
      </w:r>
    </w:p>
    <w:p>
      <w:r>
        <w:t>F. THE DURATION OF THE COMMITMENTS</w:t>
      </w:r>
    </w:p>
    <w:p>
      <w:r>
        <w:t>327. Several contributions consider that the duration of the commitments initially proposed by the banks for exceptional commissions (four years) was too short and that, for transaction commissions, the commitments should be made for an indefinite duration.</w:t>
      </w:r>
    </w:p>
    <w:p>
      <w:r>
        <w:t>328. In the banks' initial proposal, the commitments would no longer be binding in 2016. This date is later than the date by which exceptional commissions must meet the conditions set out in regulation "end dates" (February 1, 2014) but earlier than the deadline for the removal of transaction commissions on SEPA direct debits, February 1, 2017.</w:t>
      </w:r>
    </w:p>
    <w:p>
      <w:r>
        <w:t>329. The Authority considers that the scope of the commitments regarding systematic commissions should not be time-limited given the European regulatory framework that provides for their definitive prohibition as of February 1, 2017. For this reason, the commitments must be made for a duration expiring on February 1, 2017, the last deadline provided by regulation no. 260/2012, which will then take full effect.</w:t>
      </w:r>
    </w:p>
    <w:p>
      <w:r>
        <w:t>330. Regarding exceptional commissions, the regulation constrains the setting of these commissions as of February 1, 2014. For these latter commissions, it is up to the banks to comply with the conditions set by regulation no. 260-2012, which requires that they be based on costs, necessitating that they be updated at regular and relatively close intervals (for example, every three years).</w:t>
      </w:r>
    </w:p>
    <w:p>
      <w:r>
        <w:t>G. ADDITIONAL COMMITMENTS MENTIONED IN THE CONTRIBUTIONS</w:t>
      </w:r>
    </w:p>
    <w:p>
      <w:r>
        <w:t>331. Several creditor contributions mention additional commitments that the banks should undertake. The additional commitments envisaged concern the passing on of reductions in interbank commissions to the banks' tariffs for creditors, the reimbursement to creditors of commissions collected since the banks requested entry into a commitments procedure, the non-substitution of multilateral interbank commissions with unilateral or bilateral commissions, the absence of the creation of systematic commissions on new means of payment, as well as publicity measures, particularly towards creditor and debtor clients of the banks.</w:t>
      </w:r>
    </w:p>
    <w:p>
      <w:r>
        <w:t>332. The commitments procedure should only address the competition concerns identified in the preliminary assessment. The Authority cannot therefore satisfy these requests, some of which exceed its competencies.</w:t>
      </w:r>
    </w:p>
    <w:p>
      <w:r>
        <w:rPr>
          <w:b/>
        </w:rPr>
        <w:t>[Pages 70–71]</w:t>
      </w:r>
    </w:p>
    <w:p>
      <w:r>
        <w:t>H. ON THE COMMITMENTS MADE BY THE FBF</w:t>
        <w:br/>
        <w:t>333. Some identified behaviors originate from the APB. In the meeting, the banks indicated that the activities of the APB have been transferred to the AFB, created in 1976. The French Banking Federation (FBF), established in 2000, although not having directly participated in the identified behaviors, has proposed to undertake commitments, which are attached, to facilitate the implementation of the commitments proposed by the banks. By grouping a larger number of banking institutions than the AFB, the FBF thus guarantees comprehensive information on the commitments to the entire banking sector.</w:t>
      </w:r>
    </w:p>
    <w:p>
      <w:r>
        <w:t>334. To this end, the FBF has committed to inform its members of the commitments jointly undertaken by the banks within fifteen days following the notification to the banks and to the FBF of the decision of the Competition Authority making said commitments mandatory. This information will be provided by means of a letter to the "heads of house" of each of its members, transmitting a copy of the Authority's decision and the text of the commitments. A copy of the letters to the heads of house will also be sent to the Authority.</w:t>
      </w:r>
    </w:p>
    <w:p>
      <w:r>
        <w:t>III. CONCLUSION</w:t>
        <w:br/>
        <w:t>335. The Authority considers that the commitments of the banks and the FBF, which includes the members of the AFB, as improved or specified in the meeting and formalized in their final version by a letter dated June 20, 2012, address the identified competition concerns and present a substantial, credible, and verifiable nature. Therefore, it is appropriate to accept these commitments, to make them mandatory, and to close the procedure.</w:t>
      </w:r>
    </w:p>
    <w:p>
      <w:r>
        <w:t>DECISION</w:t>
        <w:br/>
        <w:t>Article 1: The Competition Authority accepts the commitments jointly made by the banks BNP Paribas, Crédit Agricole, LCL, BPCE, National Confederation of Crédit Mutuel, Crédit Industriel et Commercial, HSBC France, La Banque Postale, Société Générale, Crédit du Nord, Banque de France, and by the French Banking Federation (FBF), including the members of the French Banking Association (AFB), which are an integral part of this decision to which they are annexed. These commitments are made mandatory as of the notification of this decision.</w:t>
      </w:r>
    </w:p>
    <w:p>
      <w:r>
        <w:t>Article 2: The banks party to the procedure and the FBF will justify the execution of the commitments made to the Competition Authority within two months from their entry into force and annually on the anniversary date of their entry into force.</w:t>
      </w:r>
    </w:p>
    <w:p>
      <w:r>
        <w:t xml:space="preserve">Article 3: The cases recorded under numbers 11/0053 F and 11/0064 F are closed. </w:t>
        <w:br/>
        <w:t xml:space="preserve">Deliberated on the oral report of Ms. Sarah Subremon and Mr. Cédric Nouël de Buzonnière, rapporteurs, and the intervention of Ms. Virginie Beaumeunier, general rapporteur, by Mr. Bruno Lasserre, president, chair of the meeting, Ms. Françoise Aubert, Ms. Anne Perrot, Ms. Elisabeth Flüry-Hérard, and Mr. Patrick Spilliaert, vice-presidents. </w:t>
        <w:br/>
        <w:t xml:space="preserve">The secretary of the meeting, The president, </w:t>
        <w:br/>
        <w:t xml:space="preserve">Béatrice Déry-Rosot Bruno Lasserre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