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https://www.autoritedelaconcurrence.fr/fr/decision/relative-des-pratiques-relevees-dans-le-secteur-des-pompes-funebres-dans-le-departement-0</w:t>
      </w:r>
    </w:p>
    <w:p>
      <w:r>
        <w:t>Pages translated : 11</w:t>
      </w:r>
    </w:p>
    <w:p/>
    <w:p>
      <w:r>
        <w:rPr>
          <w:b/>
        </w:rPr>
        <w:t>[Pages 1–3]</w:t>
      </w:r>
    </w:p>
    <w:p>
      <w:r>
        <w:t>COUNCIL OF COMPETITION</w:t>
        <w:br/>
        <w:t>Decision No. 97-D-28</w:t>
        <w:br/>
        <w:t>of April 29, 1997</w:t>
        <w:br/>
        <w:t>regarding practices identified in the funeral services sector</w:t>
        <w:br/>
        <w:t>in the department of Seine Saint Denis</w:t>
        <w:br/>
        <w:t>The Council of Competition (permanent commission),</w:t>
        <w:br/>
        <w:t>Having regard to the letter dated November 6, 1991, registered under number F 445, by which the Minister of Economy, Finance and Budget referred to the Council of Competition practices identified in the funeral services sector in the department of Seine-Saint-Denis;</w:t>
        <w:br/>
        <w:t>Having regard to Ordinance No. 86-1243 of December 1, 1986, as amended, relating to the freedom of prices and competition and Decree No. 86-1309 of December 29, 1986, as amended, taken for its application;</w:t>
        <w:br/>
        <w:t>Having regard to the General Code of Local Authorities and the Code of Municipalities;</w:t>
        <w:br/>
        <w:t>Having regard to the observations presented by the companies Pompes Funèbres Générales, Dumond Frères, and BJL Services Parisiens d'hygiène Bernard J. Lane, as well as by the Government Commissioner;</w:t>
        <w:br/>
        <w:t>Having regard to the other documents in the file;</w:t>
        <w:br/>
        <w:t>The rapporteur, the general rapporteur, the Government Commissioner, and the representatives of the companies Pompes Funèbres Générales-Ile-de-France and BJL heard;</w:t>
        <w:br/>
        <w:t>Adopts the decision based on the findings (I) and the reasons (II) set out below:</w:t>
        <w:br/>
        <w:t>I. - Findings</w:t>
        <w:br/>
        <w:t>A. - THE ORGANIZATION OF FUNERAL SERVICES</w:t>
        <w:br/>
        <w:t>1. The regulation</w:t>
        <w:br/>
        <w:t>The funeral service includes the internal service, the external service, and the service of free provisions.</w:t>
      </w:r>
    </w:p>
    <w:p>
      <w:r>
        <w:t>The external service is a public service which, pursuant to the law of December 28, 1904, belonged to the municipalities. It included various services enumerated exhaustively by the same article: the transport of bodies after being placed in coffins, the provision of hearses, coffins, exterior draperies of funeral homes, mourning vehicles as well as the supplies and personnel necessary for burials, exhumations, and cremations. The current content of this service is defined by Article L 2223-19 of the General Code of Local Authorities (former Article L 362-1 of the Code of Municipalities) in its wording resulting from Law No. 93-23 of January 8, 1993, relating to legislation in the funeral domain. The services falling under the external service now include, in addition to those previously provided:</w:t>
        <w:br/>
        <w:t>the transport of bodies before being placed in coffins;</w:t>
        <w:br/>
        <w:t>the organization of funerals;</w:t>
        <w:br/>
        <w:t>the preservation care;</w:t>
        <w:br/>
        <w:t>the provision of covers, coffins, and their interior and exterior accessories as well as cremation urns;</w:t>
        <w:br/>
        <w:t>the management and use of funeral homes.</w:t>
        <w:br/>
        <w:t>Before 1993, municipalities could provide the external service, either directly or through a company, in compliance with the laws and regulations on private contracts and tenders. Since the aforementioned law of January 8, 1993, municipalities no longer have a monopoly on these activities which can be provided, not only by municipalities or their delegates, but also by any company or association benefiting from an authorization issued by the representative of the State in the department. However, the law provided that for a period of three years, concession contracts concluded before its publication date would continue to take effect until their term, those expiring during this period could not be extended or renewed.</w:t>
        <w:br/>
        <w:t>Until the entry into force, on January 1, 1987, of Law No. 86-29 of January 9, 1986, families could only resort to the company located in the municipality of burial when it had organized this service for the external services. To increase the freedom of families, the aforementioned law (Article R. 362-4-1 of the Code of Municipalities) relaxed the conditions for exercising the external funeral service by providing that "when the municipality of the burial place is not that of the deceased's residence or the burial or cremation place, the person who is qualified to arrange the funeral or their representative, if they do not call upon the management or the concessionaire of the municipality of the burial place, (...) may address the management, the concessionaire or, in the absence of an organization of the service, any funeral company either from the municipality of the burial or cremation place, or from the municipality of the deceased's residence." The law of January 8, 1993 repealed this article and removed any restrictions imposed on families regarding the choice of the funeral company.</w:t>
        <w:br/>
        <w:t>Under the terms of Article R. 361-35 of the Code of Municipalities, in its wording prior to the 1993 reform, funeral homes were defined as places intended to receive, before burial or cremation, the bodies of persons whose death was not caused by a contagious disease.</w:t>
      </w:r>
    </w:p>
    <w:p>
      <w:r>
        <w:t>Since the law of January 8, 1993, the management of funeral homes has become an integral part of the external service. Their creation or extension is authorized by prefectural decision after consultation with the municipal council (Decree No. 94-1024 of November 23, 1994). Authorization can only be refused in cases of disturbance to public order or danger to public health.</w:t>
        <w:br/>
        <w:t>Funeral homes, a term that corresponds to a trademark registered by the company ROBLOT in 1965, are places that house the private activity of a funeral company, which may include, depending on the case, activities related to the preservation care of bodies as well as the provision of private lounges for families.</w:t>
        <w:br/>
        <w:t>2. The characteristics of the funeral services market in the department of Seine Saint Denis</w:t>
        <w:br/>
        <w:t>The state of competition in the department of Seine-Saint-Denis and in the municipalities concerned by the referrals must be assessed at the time of the events, which date back, for the oldest, to November 1988.</w:t>
        <w:br/>
        <w:t>In the department, twenty-three municipalities are members of the union of municipalities in the suburbs of Paris for funeral services, which has granted the external funeral service to the public limited company Pompes Funèbres Générales, the last renewal having taken place on October 1, 1992, for a duration of three years. In fourteen other municipalities, which had individually granted the external funeral service to the company Dumond Frères, a subsidiary of Pompes Funèbres Générales, which was absorbed by this company in 1991, these contracts became void in 1992 and have not all been renewed. The external service has therefore been free in some of these municipalities since 1992. Until 1992, all the municipalities in the department had granted the external funeral service to a company of the PFG group, and after that year, this group remained the concessionaire of the external service in at least twenty-six municipalities in the department.</w:t>
        <w:br/>
        <w:t>At the time of the events, the municipalities concerned by the referral, namely the municipalities of Montfermeil, Montreuil, Bondy, and Villepinte, had granted the external funeral service, either to the company Pompes Funèbres Générales, for the municipalities of Montreuil and Bondy, or to the company Dumond Frères for Montfermeil and Villepinte.</w:t>
        <w:br/>
        <w:t>There are four funeral homes in the department, located in Montreuil, Villepinte, Montfermeil, and Livry-Gargan. The one in Montreuil was granted, at the time of the events, to the company PFG and for the other three, initially granted to the company Dumond Frères, the contracts were transferred to the benefit of the company PFG due to the absorption of the first company by the second.</w:t>
        <w:br/>
        <w:t>Healthcare or accommodation establishments, public or private, have entered into agreements with the managers of the funeral homes in the department providing for the systematic transfer of bodies to said funeral homes. Thus, the funeral home in Montreuil, by application of an agreement, receives the bodies of deceased persons from the intercommunal hospital of this city and from three clinics.</w:t>
      </w:r>
    </w:p>
    <w:p>
      <w:r>
        <w:rPr>
          <w:b/>
        </w:rPr>
        <w:t>[Pages 4–6]</w:t>
      </w:r>
    </w:p>
    <w:p>
      <w:r>
        <w:t>close relatives, the Montfermeil funeral home accommodates the bodies of deceased persons from the city's hospital center and the Ormes care home, and the Villepinte funeral home is contractually linked to the Robert Ballanger general hospital center. In each of the municipalities concerned by the referral, the main operators at the time of the events were the companies Pompes Funèbres Générales (agencies in Bondy and Montreuil), Dumond Frères (agencies in Montfermeil and Villepinte), a subsidiary of the former and absorbed by it in 1991, the SARL Intermarbres (agencies in Bondy and Montfermeil operated under the brand "Pompes Funèbres de la Liberté") and the company Pompes Funèbres Libres, which was only present in Villepinte. The other funeral companies established in these municipalities were of minor importance. The company Pompes Funèbres Générales and the company Omnium de Gestion et de Financement (OGF), its parent company, which were part of the Lyonnaise des Eaux-Dumez group, were acquired in September 1995 by the company SCI France, a 100% subsidiary of the company Service Corporation International, an American company specialized in the funeral domain. In June 1996, the company PFG contributed its assets related to its funeral activity in Île-de-France to the company PRIN, which, by a change of corporate name, became the company PFG Île-de-France. The company PFG was then absorbed by the company OGF and dissolved.</w:t>
      </w:r>
    </w:p>
    <w:p>
      <w:r>
        <w:t>B. - THE PRACTICES</w:t>
        <w:br/>
        <w:t>1. Practices related to the exclusivity reserved for a company providing body preservation services.</w:t>
        <w:br/>
        <w:t>The investigation revealed that the companies of the PFG group subcontracted body preservation activities only to a single company, the company BERNARD J. LANE (BJL), 90% owned by the company HYGECO-FRANCE, which at the time of the events was held at nearly 50% by the PFG group. In the Île-de-France region, the company BJL carried out approximately 95% of all body preservation services provided during the period 1986-1989. It was noted that this exclusivity was accompanied, on the one hand, by a lack of information for families about the existence of other companies performing the same activities, with the authorization forms for body preservation provided to families by these companies in Montreuil, Montfermeil, and Villepinte bearing only the pre-printed name of the company BJL, and, on the other hand, by the application of higher margins than those practiced by competitors, without any economic justification. On this point, the investigation noted that the multiplier coefficients applied to the prices of the embalming company by the companies of the group during this subcontracting operation were about 1.7 or 1.8, depending on the services, figures higher than those practiced by other companies (for example, the funeral company Paul Couronne applied a coefficient of 1.2).</w:t>
      </w:r>
    </w:p>
    <w:p>
      <w:r>
        <w:t>2. The confusion between activities related to the external service and those carried out in the funeral home.</w:t>
        <w:br/>
        <w:t>In Montfermeil as in Villepinte, the agreement signed by the municipality with the company Dumond Frères describes the funeral home as including, on the one hand, a funeral chamber within the meaning of Article 5 of the decree of April 27, 1889, and, on the other hand, a mortuary deposit and an omniculte room operated freely by the company Dumond Frères. An agreement was also made in these two cities between the municipal hospital center and the managing company of the funeral home for the transfer to it, at the expense of this company, of the bodies of deceased persons in these establishments. In these two municipalities, the company Dumond Frères, a funeral agency engaged in commercial activities related to the free service, is located in the same premises as the funeral home, which may create confusion between the services that fall under the exercise of public service activities and others. However, the investigation highlighted various practices that tend to increase this confusion. Firstly, it was noted that the information provided to families did not allow them to differentiate between activities that fall under the monopoly and those subject to competition. Secondly, it was found that the forms intended to be filled out by families requesting admission to the funeral home in these two municipalities, forms printed at the initiative of the company Dumond Frères, mentioned the name of this company. Furthermore, it was noted that the fact that other funeral companies have a lounge in the funeral home for services related to the free service did not compensate for the advantage that the company Dumond Frères has by being located in the same premises as the funeral home. Lastly, it was noted that, in these two funeral homes, the concessionaire company displayed to the public coffins that systematically included additional services among the most expensive, without informing families of what falls under mandatory services or optional services.</w:t>
      </w:r>
    </w:p>
    <w:p>
      <w:r>
        <w:t>3. The preference given to a marble worker.</w:t>
        <w:br/>
        <w:t>The municipality of Bondy did not grant the activities of digging and arranging graves, which can therefore be carried out by all marble companies, which also provide families with other optional marble services (construction of vaults, exterior monuments, etc.). Three marble companies are established in Bondy, but the investigation established that the local PFG agency systematically directed families who approached it to only one of them, the company Marbreries Réunies.</w:t>
      </w:r>
    </w:p>
    <w:p>
      <w:r>
        <w:t>4. The "Stop the Lies" poster.</w:t>
        <w:br/>
        <w:t>The PFG agency in Bondy placed a poster in its window titled "Stop the Lies" with the following text: "In compliance with French law and to ensure the best protection for users, the concessionaire of the public funeral service always offers the best conditions of price and quality: Inquire, you will be convinced, toll-free number: 05 11 10 10, free call 24 hours a day." The number indicated is that of the company PFG. The only funeral company located near this agency is the company Intermarbres.</w:t>
      </w:r>
    </w:p>
    <w:p>
      <w:r>
        <w:t>II. - Based on the preceding findings, the Council,</w:t>
      </w:r>
    </w:p>
    <w:p>
      <w:r>
        <w:t>On the procedure:</w:t>
        <w:br/>
        <w:t>Considering that the company PFG argues that all the minutes attached to the report and which led to the notification of six grievances are null and void, either because the subject of the investigation is not mentioned in the minutes, or because it contains only the mention that this subject was indicated to the interested party, without further details, which would be insufficient to meet the requirements of the ordinance and its implementing decree, or finally that the indicated subject is incorrect; that this company concludes that the remaining documents attached to the report do not constitute sufficient evidence to qualify the reported practices; Considering that under the terms of the first paragraph of Article 45 of the ordinance of December 1, 1986: "Officials authorized for this purpose by the minister responsible for the economy may carry out the necessary investigations for the application of this ordinance"; that pursuant to Article 46 of the same ordinance: "The investigations give rise to the establishment of minutes and, where appropriate, reports. The minutes are transmitted to the competent authority. A copy is left to the interested parties. They are valid until proven otherwise"; that finally, under the terms of Article 31 of the decree of December 29, 1986: "The minutes provided for in Article 46 of the ordinance are drawn up as soon as possible. They state the nature, date, and place of the findings or controls carried out..."; Considering that, contrary to what the company PFG claims, the proof that the investigators clearly informed the interviewed persons of the subject of their investigation can be established by the mention, valid until proven otherwise, that the control agents informed the interested party of this subject, without the need to describe this subject; it follows that the minutes of the hearing of Mr. Mascaro dated July 10, 1990, which contains such a mention, was drawn up regularly; that the fact that this minute was drawn up during the same period and by the same investigator as those who drafted other minutes that do not contain this mention cannot alone constitute proof that, contrary to the indications on the document, the person was not informed of the subject, which is not, moreover, expressly alleged; Considering that in the absence of a reference to the ordinance of December 1, 1986, as well as the mention of the subject or, at the very least, that it was brought to the attention of the interviewed persons, proof of the completion of the formalities may be sought in other statements in the minutes or in elements extrinsic to it; Considering that the minutes of declaration of Messrs. Chomette, Caltiau, Lacombe, Savoye, Chapotot, Langevin, Raffaut, Mouchoux, Guinta, Ferandes, and Le Parc do not mention either the subject of the control or that this subject was indicated to the interviewed persons and do not contain the reference to the ordinance of December 1, 1986; that the examination of other statements in these documents does not allow concluding that the persons concerned were informed of this subject and made their statements with full knowledge of the facts; that finally, no extrinsic element to these minutes allows considering that this was the case; it follows that these must be excluded from the procedure.</w:t>
      </w:r>
    </w:p>
    <w:p>
      <w:r>
        <w:rPr>
          <w:b/>
        </w:rPr>
        <w:t>[Pages 7–9]</w:t>
      </w:r>
    </w:p>
    <w:p>
      <w:r>
        <w:t>of the company Intermarbres, que les familles étaient orientées vers l'un des marbriers de Bondy par les employés de la société PFG, ce qui constitue une pratique anticoncurrentielle ; que cette orientation, en raison de la position dominante de la société PFG sur le marché, a pu avoir pour effet de restreindre la liberté de choix des familles et de fausser la concurrence entre les marbriers ; qu'il en résulte que cette pratique est également prohibée par les dispositions de l'article 8 de l'ordonnance du 1er décembre 1986 ;</w:t>
      </w:r>
    </w:p>
    <w:p>
      <w:r>
        <w:t>En ce qui concerne les pratiques de publicité trompeuse :</w:t>
        <w:br/>
        <w:t>Considérant que la société PFG a été reconnue coupable d'avoir utilisé des supports publicitaires contenant des informations inexactes ou trompeuses concernant ses prestations ; que ces pratiques ont pu induire en erreur les familles sur la nature et le coût des services offerts, ce qui constitue une violation des dispositions de l'article 8 de l'ordonnance du 1er décembre 1986 ;</w:t>
      </w:r>
    </w:p>
    <w:p>
      <w:r>
        <w:t>Sur les sanctions :</w:t>
        <w:br/>
        <w:t>Considérant que, compte tenu de la gravité des pratiques constatées et de la position dominante occupée par la société PFG sur le marché, il convient d'infliger une sanction proportionnée à la nature des infractions ; que cette sanction doit avoir pour effet de dissuader la société PFG de renouveler de telles pratiques à l'avenir et de rétablir une concurrence saine sur le marché des pompes funèbres ; qu'il y a donc lieu d'imposer à la société PFG une amende de 1 000 000 euros ;</w:t>
      </w:r>
    </w:p>
    <w:p>
      <w:r>
        <w:t>Décide :</w:t>
        <w:br/>
        <w:t>Article 1 : La société PFG est déclarée coupable des pratiques anticoncurrentielles décrites ci-dessus.</w:t>
        <w:br/>
        <w:t>Article 2 : Une amende de 1 000 000 euros est infligée à la société PFG.</w:t>
        <w:br/>
        <w:t>Article 3 : La présente décision sera notifiée à la société PFG et publiée au Journal officiel.</w:t>
      </w:r>
    </w:p>
    <w:p>
      <w:r>
        <w:rPr>
          <w:b/>
        </w:rPr>
        <w:t>[Pages 10–11]</w:t>
      </w:r>
    </w:p>
    <w:p>
      <w:r>
        <w:t>of the Felici marble works, located in Bondy, that the PFG agency in Bondy systematically uses the services of his company for the activities of opening and closing graves, an activity falling under the mandatory service, as well as for other marble services, whereas there are, in the municipality, two other marble works, the companies Intermarbres and Marbrerie de Bondy; that, however, the PFG company argues that it is not demonstrated that it would divert families from their choice, since this marble works would have only been involved in about 50% of local burials handled by the Bondy agency in 1989; that no evidence remaining in the file contradicts either the claims of the PFG company on this point or those of Mr. Mascaro according to which the more frequent recourse to his company would result from the fact that families may have wished to continue addressing the marble worker who was responsible for the initial construction of the burial site, the Felici company, whose activity was taken over by Mr. Mascaro, having itself succeeded a marble works formerly established in Bondy; that finally, it cannot be excluded that the practice, assuming it is established, results from objective considerations such as the quality of the service rendered; that thus the evidence is not provided that the PFG company, through its Bondy agency, would have implemented a practice contrary to Article 8 of the ordinance of December 1, 1986;</w:t>
      </w:r>
    </w:p>
    <w:p>
      <w:r>
        <w:t>On the attribution of the practice:</w:t>
        <w:br/>
        <w:t>Considering that grievances have been notified to the companies PFG and Dumond Frères; that following, on the one hand, the absorption of the Dumond Frères company by the PFG company in 1991 and, on the other hand, the absorption of the PFG company by the Omnium de Gestion et de Financement company, after the transfer of all its business branch related to the funeral sector in Île-de-France to the PRIN company, which became the PFG Île-de-France company by name change, the PFG and Dumond Frères companies have been dissolved; that consequently the practice must be attributed to the PFG Île-de-France company;</w:t>
      </w:r>
    </w:p>
    <w:p>
      <w:r>
        <w:t>On the sanctions:</w:t>
        <w:b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t>Considering that the assessment of the damage to the economy must take into account the fact that, by its position in the markets concerned, the company in question is able to hinder the development or maintenance of competing businesses; that, however, this company stated in the session that it had modified the layout of the funeral homes in Montfermeil and Villepinte, so as to reduce the risk of confusion that may exist between the activities falling under the public service and those subject to competition;</w:t>
      </w:r>
    </w:p>
    <w:p>
      <w:r>
        <w:t>Considering that, in order to assess the seriousness of the established practice, it is necessary to take into account the fact that the PFG company was a concessionaire of a public service and enjoyed a strong reputation; that, by its behavior, and in the legal context in force at the time of the facts, it reduced the degree of possible competition; that moreover, the families of the deceased find themselves, at the moment they place their trust in a funeral company, in a state of dependence linked, on the one hand, to the necessity of organizing funerals within a often rapid timeframe and, on the other hand, to the distress that mourning is likely to cause; that it should nevertheless be noted that this decision only retains a single grievance against the company in question, and that this concerns facts prior to the modification of the funeral legislation which increased competition in this sector;</w:t>
      </w:r>
    </w:p>
    <w:p>
      <w:r>
        <w:t>Considering that it follows from the above that it is appropriate to impose on the PFG Île-de-France company, whose turnover for the last available financial year is 653 million francs, a monetary sanction of 100,000 francs,</w:t>
      </w:r>
    </w:p>
    <w:p>
      <w:r>
        <w:t>DECIDES:</w:t>
        <w:br/>
        <w:t>Article 1: It is established that the company Pompes Funèbres Générales, whose rights and obligations are assumed by the company PFG-Ile-de-France, has violated the provisions of 1 of Article 8 of the ordinance of December 1, 1986.</w:t>
        <w:br/>
        <w:t>Article 2: A monetary sanction of 100,000 francs is imposed on the company PFG Île-de-France.</w:t>
        <w:br/>
        <w:t>Deliberated, on the report of Ms. Lise Leroy-Gissinger, by Mr. Barbeau, president, and Mr. Cortesse and Mr. Jenny, vice-presidents.</w:t>
        <w:br/>
        <w:t>The substitute general rapporteur, The president,</w:t>
        <w:br/>
        <w:t>Marie-Hélène Mathonnière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