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https://www.autoritedelaconcurrence.fr/fr/decision/relative-des-pratiques-relevees-dans-le-secteur-du-beton-pret-lemploi</w:t>
      </w:r>
    </w:p>
    <w:p>
      <w:r>
        <w:t>Pages translated : 5</w:t>
      </w:r>
    </w:p>
    <w:p/>
    <w:p>
      <w:r>
        <w:rPr>
          <w:b/>
        </w:rPr>
        <w:t>[Pages 1–3]</w:t>
      </w:r>
    </w:p>
    <w:p>
      <w:r>
        <w:t xml:space="preserve">FRENCH REPUBLIC  </w:t>
        <w:br/>
        <w:t xml:space="preserve">Decision No. 93-D-54 of November 30, 1993  </w:t>
        <w:br/>
        <w:t xml:space="preserve">regarding practices observed in the ready-mixed concrete sector  </w:t>
        <w:br/>
        <w:t xml:space="preserve">The Competition Council (permanent commission),  </w:t>
        <w:br/>
        <w:t xml:space="preserve">Having regard to the letter registered on April 4, 1991, under number F 405, by which the Minister of State, Minister of Economy, Finance and Budget, referred to the Competition Council the practices observed in the ready-mixed concrete market at the national level and in the Bourgogne - Franche-Comté and Rhône-Alpes regions;  </w:t>
        <w:br/>
        <w:t xml:space="preserve">Having regard to Ordinance No. 86-1243 of December 1, 1986, relating to price freedom and competition, as amended, and Decree No. 86-1309 of December 29, 1986, as amended, taken for its application;  </w:t>
        <w:br/>
        <w:t xml:space="preserve">Having regard to the letter from the President of the Competition Council dated September 13, 1993, notifying the interested party and the Government Commissioner of his decision to bring the case before the permanent commission, pursuant to Article 22 of the aforementioned ordinance of December 1, 1986;  </w:t>
        <w:br/>
        <w:t xml:space="preserve">Having regard to the observations presented by the National Ready-Mixed Concrete Union and the Regional Union of Bourgogne - Franche-Comté of ready-mixed concrete;  </w:t>
        <w:br/>
        <w:t xml:space="preserve">Having regard to the other documents in the file;  </w:t>
        <w:br/>
        <w:t xml:space="preserve">The rapporteur, the general rapporteur, the Government Commissioner, the representative of the National Ready-Mixed Concrete Union, and the representative of the Regional Union of Bourgogne - Franche-Comté of ready-mixed concrete heard;  </w:t>
        <w:br/>
        <w:t xml:space="preserve">Adopts the decision based on the findings (I) and the reasons (II) set out below:  </w:t>
        <w:br/>
        <w:t xml:space="preserve">I. - FINDINGS  </w:t>
        <w:br/>
        <w:t xml:space="preserve">1. The market  </w:t>
        <w:br/>
        <w:t xml:space="preserve">a) The product: ready-mixed concrete  </w:t>
        <w:br/>
        <w:t>A product resulting from the combination of cement, water, sand, gravel, and various additives, ready-mixed concrete is characterized by a manufacturing process based on the mixing of the different components, with the homogeneity of the mixture being achieved through vibrations.</w:t>
      </w:r>
    </w:p>
    <w:p>
      <w:r>
        <w:t xml:space="preserve">The most important concrete plants are stationary and operate automatically. Ready-mixed concrete is usually distinguished by specified characteristics, which are exclusively defined by their composition at the client's request, and standardized ready-mixed concrete, defined by their own characteristics (type of cement, strength, size of the largest aggregate, etc.). Ready-mixed concrete is an original product due to the methods of its distribution to customers: generally, ready-mixed concrete is indeed transported by the manufacturer to the user's construction site. Using a ready-mixed concrete manufacturer offers the client company the advantage of saving on manufacturing equipment, storage, as well as handling costs of concrete on the site, as the mixer truck that transports and delivers the concrete can operate on several parts of a construction site. The characteristics of the product give transport activity a determining importance:  </w:t>
        <w:br/>
        <w:t xml:space="preserve">- the product must be delivered quickly, and the delivery distance cannot exceed an area within a radius of 20 or 30 kilometers: beyond that, indeed, the cost of transport would be too high and would undermine the competitiveness of the companies;  </w:t>
        <w:br/>
        <w:t xml:space="preserve">- delivery must be made at specific unloading times on a construction site, an obligation that makes the ready-mixed concrete manufacturer a service provider responsible for supplying its product until it is placed on the site;  </w:t>
        <w:br/>
        <w:t xml:space="preserve">- companies are increasingly relying on the services of 'private carriers' who own their vehicles and are paid based on the number of cubic meters transported.  </w:t>
        <w:br/>
        <w:t xml:space="preserve">Knowledge of transport costs, which can represent 30% of the price of the delivered product, thus appears as a necessity for manufacturing companies, even if these costs are difficult to control due to unpredictable constraints (more or less easy communication, unloading methods, site hazards).  </w:t>
        <w:br/>
        <w:t xml:space="preserve">b) Characteristics of the ready-mixed concrete sector  </w:t>
        <w:br/>
        <w:t>For the year 1989, the cumulative production of ready-mixed concrete reached 30.4 million cubic meters, with a total turnover of 12.5 billion francs. The latest statistics produced and submitted to the file by the National Ready-Mixed Concrete Union indicated that after rapid growth from 1984 to mid-1990, production has since experienced relative stagnation, as the annual growth as of August 1991 was only over 0.9% over the last twelve months. In this sector, there are only local markets due to the high cost of transport, which reduces the catchment area to a short distance, beyond which the cost of transport exceeds the value of the product. Thus, there is a multitude of local markets, schematically corresponding to areas with a radius of about thirty kilometers, representing approximately half an hour of transport.</w:t>
      </w:r>
    </w:p>
    <w:p>
      <w:r>
        <w:t xml:space="preserve">2. Professional organizations  </w:t>
        <w:br/>
        <w:t>The National Ready-Mixed Concrete Union, which is a branch of the National Union of Quarry and Materials Industries, was established in 1964 as an association initiated by cement companies and major aggregate producers; it includes 230 member companies and, as such, collects dues amounting to 7.3 million francs in 1991. It is managed by a council of about forty members, two-thirds of whom are representatives of regional unions and one-third are company representatives. The board of directors is assisted by a think tank, the steering committee, composed of about a dozen members elected by the council from among its members. The national union is decentralized at the regional level; the regional unions, which have legal personality, do not, however, have their own budget, and the financing of their actions is directly covered by the national union. The National Union of Bourgogne - Franche-Comté has seventeen members.</w:t>
      </w:r>
    </w:p>
    <w:p>
      <w:r>
        <w:t xml:space="preserve">3. Observed practices  </w:t>
        <w:br/>
        <w:t xml:space="preserve">1. Practices of the regional union of Bourgogne - Franche-Comté  </w:t>
        <w:br/>
        <w:t xml:space="preserve">This regional union conducted a study in 1976 on transport costs in this sector. This study, updated in 1986, is based on assumptions of company activity and on the evaluation of personnel, equipment, and operating costs of a mixer truck. It then allows for the determination of the average cost of the cubic meter of transported concrete and establishes a parametric formula, integrating the specificities of each construction site. The study was intended to provide companies with an indicator of cost increases by indicating the average cost of the transported cubic meter. The parametric formula allows for estimating the transport cost from site to site. However, it appears that the study was conducted based on activity assumptions presumed to be representative of the companies' activities but which the authors specified do not rely on accounting data but on a good knowledge of the sector.  </w:t>
        <w:br/>
        <w:t xml:space="preserve">2. Practices of the National Ready-Mixed Concrete Union  </w:t>
        <w:br/>
        <w:t xml:space="preserve">It follows from the investigation that the National Ready-Mixed Concrete Union ensured the dissemination to the companies that requested it of the study prepared by the Regional Union of Bourgogne - Franche-Comté.  </w:t>
        <w:br/>
        <w:t xml:space="preserve">II. - BASED ON THE FINDINGS ABOVE, THE COUNCIL  </w:t>
        <w:br/>
        <w:t xml:space="preserve">On the observed practices,  </w:t>
        <w:br/>
        <w:t>Considering that it results from the investigation that the study prepared by the Regional Union of Bourgogne - Franche-Comté, disseminated to its members in 1988 and 1989, presents a formula</w:t>
      </w:r>
    </w:p>
    <w:p>
      <w:r>
        <w:rPr>
          <w:b/>
        </w:rPr>
        <w:t>[Pages 4–5]</w:t>
      </w:r>
    </w:p>
    <w:p>
      <w:r>
        <w:t>parametric intended to allow the calculation of the cost of transporting ready-mixed concrete, which applies coefficients to the travel time in minutes of a delivery truck, the distance to be covered to reach the delivery point, the time spent at that location, and the truck's load in cubic meters; it is not disputed that these data are based, not on a price list, but on an assessment made by the author of the study of the value of these data for the company to which he belonged; that the dissemination of such a document could have had the effect of distorting competition by encouraging the companies concerned not to take into account, in determining their prices, their specific operating conditions; it is established that, during the period likely to be examined by the council, at least two of the member companies applied the indications contained in this document;</w:t>
      </w:r>
    </w:p>
    <w:p>
      <w:r>
        <w:t>Considering that it is undisputed that the contested study, which constitutes a transport cost scale, was made available to its members by the National Ready-Mixed Concrete Union;</w:t>
      </w:r>
    </w:p>
    <w:p>
      <w:r>
        <w:t>Considering that it follows from the above that the preparation and dissemination of this study by the Regional Union of Bourgogne - Franche-Comté of ready-mixed concrete and its availability at the national level by the National Ready-Mixed Concrete Union constitute practices prohibited by Article 7 of the ordinance of December 1, 1986;</w:t>
      </w:r>
    </w:p>
    <w:p>
      <w:r>
        <w:t>Considering that the National Ready-Mixed Concrete Union did not participate in the preparation of the ongoing study and only made it available to its members without it being demonstrated that it intended to give this document significant dissemination;</w:t>
      </w:r>
    </w:p>
    <w:p>
      <w:r>
        <w:t>On the sanction:</w:t>
      </w:r>
    </w:p>
    <w:p>
      <w:r>
        <w:t>Considering that under the terms of Article 13 of the ordinance of December 1, 1986, the Competition Council 'may impose a sanction applicable either immediately or in the event of non-compliance with injunctions.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If the offender is not a company, the maximum is ten million francs...';</w:t>
      </w:r>
    </w:p>
    <w:p>
      <w:r>
        <w:t>Considering that the practices identified against the Regional Union of Bourgogne - Franche-Comté of ready-mixed concrete only concerned one of the elements of the cost of ready-mixed concrete; in particular, a specific margin rate was not recommended;</w:t>
      </w:r>
    </w:p>
    <w:p>
      <w:r>
        <w:t>Considering that the resources of this organization amounted to 429,000 F in 1992;</w:t>
      </w:r>
    </w:p>
    <w:p>
      <w:r>
        <w:t>Considering that, taking into account these assessment elements, it is appropriate to impose a financial sanction of 50,000 F,</w:t>
      </w:r>
    </w:p>
    <w:p>
      <w:r>
        <w:t>Decides:</w:t>
      </w:r>
    </w:p>
    <w:p>
      <w:r>
        <w:t>Art. 1. - A sanction of 50,000 F is imposed on the Regional Union of Bourgogne - Franche-Comté of ready-mixed concrete.</w:t>
      </w:r>
    </w:p>
    <w:p>
      <w:r>
        <w:t>Art. 2. - This decision will be published, within three months following its notification, at the expense of the Regional Union of Bourgogne - Franche-Comté of ready-mixed concrete, in Le Moniteur des travaux publics et du bâtiment.</w:t>
      </w:r>
    </w:p>
    <w:p>
      <w:r>
        <w:t>Deliberated on the report of Mr. Henri-Jean Coudy, by Mr. Barbeau, president, and Mr. Cortesse and Mr. Jenny, vice-presidents.</w:t>
      </w:r>
    </w:p>
    <w:p>
      <w: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