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https://www.autoritedelaconcurrence.fr/fr/decision/relative-des-pratiques-relevees-dans-le-secteur-du-transport-scolaire-dans-les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Decision No. 02-D-21 of March 14, 2002</w:t>
        <w:br/>
        <w:t>concerning practices observed in the school transport sector</w:t>
        <w:br/>
        <w:t>in the departments of Yonne and Nièvre</w:t>
        <w:br/>
        <w:t>The Competition Council (standing committee),</w:t>
        <w:br/>
        <w:t>Having regard to the letter dated December 9, 1997, registered under number F 997, by which the Minister of</w:t>
        <w:br/>
        <w:t>Economy, Finance, and Industry referred to the Competition Council practices observed in the</w:t>
        <w:br/>
        <w:t>school transport sector in the departments of Yonne and Nièvre;</w:t>
        <w:br/>
        <w:t>Having regard to Book IV of the Commercial Code relating to the freedom of prices and competition and Decree No. 86-1309</w:t>
        <w:br/>
        <w:t>of December 29, 1986, as amended, setting the conditions for the application of Ordinance No. 86-1243 of</w:t>
        <w:br/>
        <w:t>December 1, 1986;</w:t>
        <w:br/>
        <w:t>Having regard to the observations presented by the Government Commissioner;</w:t>
        <w:br/>
        <w:t>Having regard to the other documents in the file;</w:t>
        <w:br/>
        <w:t>The rapporteur, the deputy general rapporteur, and the Government Commissioner heard during the</w:t>
        <w:br/>
        <w:t>session of December 19, 2001;</w:t>
        <w:br/>
        <w:t>Considering that the Minister denounces in his referral, dated December 9, 1997, the dissemination, by</w:t>
        <w:br/>
        <w:t>professional transport organizations, of price scales and the allocation of school transport lines among their members;</w:t>
        <w:br/>
        <w:t>Considering that Article L. 462-7 of the Commercial Code provides that "the council cannot be seized of facts</w:t>
        <w:br/>
        <w:t>dating back more than three years if no act has been made to seek, establish, or sanction them";</w:t>
        <w:br/>
        <w:t>Considering that it results from the documents in the file that no act aimed at seeking, establishing, or</w:t>
        <w:br/>
        <w:t>sanctioning the practices referred to in Articles L. 420-1 and L. 420-2 of the Commercial Code has been initiated</w:t>
        <w:br/>
        <w:t>subsequent to the referral to the Council within the three-year period provided for in the aforementioned Article L. 462-7;</w:t>
        <w:br/>
        <w:t>Considering that the Government Commissioner argues that he found himself unable to act</w:t>
        <w:br/>
        <w:t>to carry out an interruptive act of prescription and that the period provided for in the aforementioned article has been suspended</w:t>
        <w:br/>
        <w:t>in his regard; that the reasoning of the ruling of the Court of Cassation dated July 17, 2001, overturning a ruling</w:t>
        <w:br/>
        <w:t>of the Paris Court of Appeal dated March 9, 1999, which had accepted the principle of the suspension of the</w:t>
        <w:br/>
        <w:t>prescription concerning the referring company, placed in the impossibility of acting in the ongoing procedure</w:t>
        <w:br/>
        <w:t>before the Council, does not apply to the case of a referral from the Minister because he, unlike</w:t>
        <w:br/>
        <w:t>the companies or other legal entities making the referral, lacks any alternative means to protect</w:t>
        <w:br/>
        <w:t>the public economic order affected by anti-competitive practices;</w:t>
        <w:br/>
        <w:t>But considering that, seized of a ruling of the Paris Court of Appeal, rendered on October 12, 1999, which had held</w:t>
        <w:br/>
        <w:t>that the prescription period was suspended concerning the Minister inasmuch as, as the referring party</w:t>
        <w:br/>
        <w:t>under Article 11 of the ordinance, the Director General of Competition, Consumption and Fraud Prevention was placed in the impossibility of acting to execute an interruptive act in</w:t>
        <w:br/>
        <w:t>the ongoing procedure before the Competition Council, the Court of Cassation, by a ruling dated</w:t>
        <w:br/>
        <w:t>February 26, 2002, stated "that by ruling thus, by adding to the cited text a case of suspension of the</w:t>
        <w:br/>
        <w:t>prescription that it does not provide for, the Court of Appeal violated it" and pronounced the annulment of this ruling;</w:t>
        <w:br/>
        <w:t>Considering that in this case more than three years have elapsed since December 9, 1997, the date of the referral to</w:t>
        <w:br/>
        <w:t>the council by the Minister, without the course of the prescription having been interrupted by an act aimed at</w:t>
        <w:br/>
        <w:t>seeking, establishing, or sanctioning the reported facts; that the prescription being thus acquired as of</w:t>
        <w:br/>
        <w:t>December 9, 2000, it is appropriate to state that there is no need to continue the procedure;</w:t>
        <w:br/>
        <w:t>DECIDES</w:t>
        <w:br/>
        <w:t>Sole Article - There is no need to continue the procedure.</w:t>
        <w:br/>
        <w:t>Deliberated, on the oral report of Mr. Komiha, by Ms. Hagelsteen, President, Ms. Pasturel, Vice-President,</w:t>
        <w:br/>
        <w:t>Messrs. Jenny and Nasse, Vice-Presidents.</w:t>
        <w:br/>
        <w:t>The session secretary, The President,</w:t>
        <w:br/>
        <w:t>Anne Frédéric-Moreau Marie-Dominique Hagelsteen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