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https://www.autoritedelaconcurrence.fr/fr/decision/relative-des-pratiques-relevees-dans-les-secteurs-du-chauffage-collectif-au-gaz-et-des</w:t>
      </w:r>
    </w:p>
    <w:p>
      <w:r>
        <w:t>Pages translated : 15</w:t>
      </w:r>
    </w:p>
    <w:p/>
    <w:p>
      <w:r>
        <w:rPr>
          <w:b/>
        </w:rPr>
        <w:t>[Pages 1–3]</w:t>
      </w:r>
    </w:p>
    <w:p>
      <w:r>
        <w:t xml:space="preserve">FRENCH REPUBLIC  </w:t>
        <w:br/>
        <w:t xml:space="preserve">Decision No. 03-D-44 of September 17, 2003  </w:t>
        <w:br/>
        <w:t>regarding practices observed in the sectors of collective gas heating and thermal energy meters</w:t>
      </w:r>
    </w:p>
    <w:p>
      <w:r>
        <w:t xml:space="preserve">The Competition Council (section IV),  </w:t>
        <w:br/>
        <w:t xml:space="preserve">Having regard to the letter registered on December 20, 1996, under number F 926, by which the Minister Delegate for Finance and Foreign Trade referred to the Competition Council the situation of competition in the sectors of collective heating and thermal energy meters;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Government Commissioner and Gaz de France;  </w:t>
        <w:br/>
        <w:t xml:space="preserve">Having regard to the other documents in the file;  </w:t>
        <w:br/>
        <w:t xml:space="preserve">The rapporteur, the deputy general rapporteur, the Government Commissioner, and the representatives of Gaz de France heard during the session of June 25, 2003;  </w:t>
        <w:br/>
        <w:t>Adopts the decision based on the findings (I) and the reasons (II) below:</w:t>
      </w:r>
    </w:p>
    <w:p>
      <w:r>
        <w:t xml:space="preserve">I. - Findings  </w:t>
        <w:br/>
        <w:t>1. By letter registered on December 20, 1996, under No. F 926, the Minister Delegate for Finance and Foreign Trade referred to the Competition Council practices implemented by Gaz de France (hereinafter GDF). He argues that GDF, as part of an active policy to support centralized individual heating, subsidized the commercial activity of its subsidiary Calliance by ensuring, on behalf of the latter, the commercial approach to project owners, providing it with commercial information, and conducting national promotion of its offers. Furthermore, he accuses GDF of granting two thermal energy meter suppliers, the companies Schlumberger Industries and Wateau, unjustified advantages likely to distort competition in the thermal meter market.</w:t>
      </w:r>
    </w:p>
    <w:p>
      <w:r>
        <w:t xml:space="preserve">A. - THE SECTORS OF ACTIVITY CONCERNED  </w:t>
        <w:br/>
        <w:t>2. The installation of a heating system requires the integration of several products or services, including energy supply (gas, electricity, domestic fuel), equipment (boiler, radiators, plumbing), and complementary services (maintenance, heating charge allocation, etc.). Some offers, mixed or global, group all or part of these products and services.</w:t>
      </w:r>
    </w:p>
    <w:p>
      <w:r>
        <w:t xml:space="preserve">1. Energy sources  </w:t>
        <w:br/>
        <w:t xml:space="preserve">3. They can be classified into four categories: domestic fuel or coal, for which suppliers are in competition, electricity, available in almost all territories under the monopoly of EDF, town gas, accessible to 68% of French housing under the monopoly of GDF, and other energy sources.  </w:t>
        <w:br/>
        <w:t xml:space="preserve">4. For the years 1994 and 1995, the price of the unit of energy consumed varied as follows:  </w:t>
        <w:br/>
        <w:t xml:space="preserve">Energy price for 100 KWh PCI, in cents  </w:t>
        <w:br/>
        <w:t xml:space="preserve">1994 1995  </w:t>
        <w:br/>
        <w:t xml:space="preserve">Sources  </w:t>
        <w:br/>
        <w:t xml:space="preserve">Min Max Min Max  </w:t>
        <w:br/>
        <w:t xml:space="preserve">Fuel/Coal 20.35 20.58 20.18 20.38  </w:t>
        <w:br/>
        <w:t xml:space="preserve">Others 27.22 36.93 28.7 39.44  </w:t>
        <w:br/>
        <w:t xml:space="preserve">Electricity 78.07 101.55 78.52 102.15  </w:t>
        <w:br/>
        <w:t xml:space="preserve">Gas 21.28 38.92 21.12 38.58  </w:t>
        <w:br/>
        <w:t>These figures fluctuate according to raw material prices, but the hierarchy between the cheapest energies (gas, fuel, coal, and others) and the most expensive (electricity) is generally maintained.</w:t>
      </w:r>
    </w:p>
    <w:p>
      <w:r>
        <w:t xml:space="preserve">2. Criteria for choosing a heating method  </w:t>
        <w:br/>
        <w:t xml:space="preserve">5. Several factors influence the choice made between different energy sources, notably their availability, the characteristics of the dwellings, and the type of heating chosen, whether central or individual. There is also a predominance of gas in apartments where the project owner belongs to the public sector:  </w:t>
        <w:br/>
        <w:t xml:space="preserve">Energy source chosen by type of dwelling (in areas served by GDF)  </w:t>
        <w:br/>
        <w:t xml:space="preserve">Gas Others  </w:t>
        <w:br/>
        <w:t xml:space="preserve">Public sector apartments 72% 28%  </w:t>
        <w:br/>
        <w:t xml:space="preserve">Private sector apartments 23% 77%  </w:t>
        <w:br/>
        <w:t>All dwellings 48% 52%</w:t>
      </w:r>
    </w:p>
    <w:p>
      <w:r>
        <w:t xml:space="preserve">Heating of new individual dwellings from June 1994 to June 1995  </w:t>
        <w:br/>
        <w:t xml:space="preserve">Gas Electricity Others Total  </w:t>
        <w:br/>
        <w:t xml:space="preserve">Central heating 21% 42% 23% 86%  </w:t>
        <w:br/>
        <w:t xml:space="preserve">Individual heating 0% 8% 6% 14%  </w:t>
        <w:br/>
        <w:t>Total 21% 50% 30% 100%</w:t>
      </w:r>
    </w:p>
    <w:p>
      <w:r>
        <w:t xml:space="preserve">Heating of new collective housing equipped from June 1994 to June 1995  </w:t>
        <w:br/>
        <w:t xml:space="preserve">Gas Electricity Others Total  </w:t>
        <w:br/>
        <w:t xml:space="preserve">Central heating 30% 46% 9% 85%  </w:t>
        <w:br/>
        <w:t xml:space="preserve">Individual heating 0% 13% 2% 15%  </w:t>
        <w:br/>
        <w:t>Total 30% 59% 11% 100%</w:t>
      </w:r>
    </w:p>
    <w:p>
      <w:r>
        <w:t xml:space="preserve">3. Equipment  </w:t>
        <w:br/>
        <w:t xml:space="preserve">a) Heating systems  </w:t>
        <w:br/>
        <w:t xml:space="preserve">6. They are of two types. Collective central heating can be owned by the community or outsourced, with a supplier then selling heat directly to a group of dwellings. Subsequently, the heat is distributed among the different dwellings, with the evaluation of individual heating charges being subject to allocation. In contrast, with individual heating, each dwelling has its own heating system, and the user directly pays their energy bill.  </w:t>
        <w:br/>
        <w:t xml:space="preserve">b) Thermal energy meters  </w:t>
        <w:br/>
        <w:t>7. Article L. 131-3 of the Construction and Housing Code imposes on users of a collective heating installation the use of thermal meters intended for the allocation of heating charges: "Every collective building equipped with a common heating system must include, when the technology allows, an installation enabling the determination of the quantity of heat and hot water supplied to each room occupied for private use." These meters are offered by French or foreign manufacturers, purchased by GDF according to its technical specifications, and distributed among the EDF-GDF Services centers, which in turn distribute them to installers. They remain the property of GDF or its subsidiary Calliance. The main manufacturers present in France are the companies Schlumberger, Wateau, I.C.M., Sappel, Landis &amp; Gyr, G.W.F., and Somesca.</w:t>
      </w:r>
    </w:p>
    <w:p>
      <w:r>
        <w:t xml:space="preserve">4. Mixed or bundled services  </w:t>
        <w:br/>
        <w:t>8. It is possible for companies to offer packages that integrate several of the products or services examined above. Thus, the activity of "selling heat" consists of selling the heat obtained from an energy source. This activity allows the customer to address a single supplier, which avoids having to resort to both the energy source market and the heating system market.</w:t>
      </w:r>
    </w:p>
    <w:p>
      <w:r>
        <w:t xml:space="preserve">B. - THE STAKEHOLDERS IN THE SECTOR  </w:t>
        <w:br/>
        <w:t xml:space="preserve">1. The company Calliance  </w:t>
        <w:br/>
        <w:t>9. In 1991, GDF, which was entrusted by Law No. 46-628 of April 8, 1946, on the nationalization of electricity and gas, with the production, transport, distribution, importation, and exportation of combustible gas, established two subsidiaries, Calliance and Prestagaz, to develop the sale of heat, first in the new housing sector, then in the existing housing and tertiary sectors (new and existing). The company Calliance began its activity on October 1, 1991. It absorbed Prestagaz in 1994. In 1996, it transferred its activity to the GIE Calliance gestion. It employed approximately 27 employees. The operational part was subcontracted to several maintenance and operating companies.</w:t>
      </w:r>
    </w:p>
    <w:p>
      <w:r>
        <w:rPr>
          <w:b/>
        </w:rPr>
        <w:t>[Pages 4–6]</w:t>
      </w:r>
    </w:p>
    <w:p>
      <w:r>
        <w:t xml:space="preserve">including some that are subsidiaries of GDF. These include CGST-Save, Elyo, Someth, Sochan, Genese, Servitherme, and M.E.T.  </w:t>
        <w:br/>
        <w:t xml:space="preserve">10. The company Calliance had three agencies located in Paris, Lyon, and Toulouse. The Paris agency accounted for 50% of the turnover, with the Lyon and Toulouse agencies sharing the rest. By a franchise agreement signed on March 2, 1995, it granted the company Générale d'installations électriques (GIE SA), a subsidiary of Gaz de Strasbourg SA and Cofreth, exclusivity of its services in a geographical area of 72 municipalities located around Strasbourg.  </w:t>
        <w:br/>
        <w:t xml:space="preserve">2. The sale of heat by the company Calliance  </w:t>
        <w:br/>
        <w:t xml:space="preserve">11. GDF established a service called "centralized individual heating" (CIC), which allows each occupant of a new or renovated dwelling located in a collective building to individualize their heating and hot water consumption through the installation, on one hand, of a collective gas boiler serving all apartments, and on the other hand, thermal energy meters for each apartment. This centralized individual heating has been implemented in three modalities:  </w:t>
        <w:br/>
        <w:t xml:space="preserve">• basic centralized individual heating, in which billing is global, with the allocation and collection of charges being managed by the building manager. The production and distribution installation is taken care of by the project owner and belongs to the co-ownership;  </w:t>
        <w:br/>
        <w:t xml:space="preserve">• distributed gas sales, offered since 1990, which is based on the same principle as centralized individual heating. But GDF ensures the reading and billing to each occupant of the building based on their personal energy consumption, determined with regard to two meters owned and maintained by it: a heat meter and a hot water meter. It also ensures the reading and maintenance of the pressure-regulating and metering station of the boiler room, sold to the building manager;  </w:t>
        <w:br/>
        <w:t xml:space="preserve">• heat sales, in which the company Calliance is involved. Following the construction of the building, Calliance purchases all or part of the collective heating production and distribution installation, notably the heat and hot water meters, before operating it by billing calories for heating and hot water directly to each occupant or to the building manager, depending on the chosen option (individual heat sale, collective heat sale, or distributed collective heat sale).  </w:t>
        <w:br/>
        <w:t xml:space="preserve">12. From 1993 to 1996, Calliance's activity evolved as follows:  </w:t>
        <w:br/>
        <w:t xml:space="preserve">Number of occupied dwellings Number of m² "sold"  </w:t>
        <w:br/>
        <w:t xml:space="preserve">Turnover  </w:t>
        <w:br/>
        <w:t xml:space="preserve">Years at the end of the fiscal year in the fiscal year  </w:t>
        <w:br/>
        <w:t xml:space="preserve">(in francs)  </w:t>
        <w:br/>
        <w:t xml:space="preserve">(individual heat sale) (collective heat sale)  </w:t>
        <w:br/>
        <w:t xml:space="preserve">1993 1,431 000 725 691 777  </w:t>
        <w:br/>
        <w:t xml:space="preserve">1994 46 795 000 2,268 772 037  </w:t>
        <w:br/>
        <w:t xml:space="preserve">1995 62 824 000 4,811 1,133 878  </w:t>
        <w:br/>
        <w:t>1996 79 182 000 6,729 1,180 038</w:t>
      </w:r>
    </w:p>
    <w:p>
      <w:r>
        <w:t xml:space="preserve">C. – OBSERVED PRACTICES  </w:t>
        <w:br/>
        <w:t xml:space="preserve">1. Financial and commercial relations between SA Calliance and the economic and commercial management of GDF  </w:t>
        <w:br/>
        <w:t xml:space="preserve">13. The relations between SA Calliance and the economic and commercial management of GDF (DEC) are organized by a protocol dated July 16, 1991, modified by five amendments dated June 30, 1992, April 5, 1993, February 3, 1994, May 2, 1995, and June 13, 1996, aimed at revising Calliance's remuneration and specifying its missions.  </w:t>
        <w:br/>
        <w:t xml:space="preserve">14. The protocol of July 16, 1991, aims to define the conditions under which the DEC entrusts Calliance with strategic marketing missions related to the "sale of heat." The company Calliance has, in particular, the mission of "developing the heat sales policy of the Gaz de France group" and "opening heat sales to new markets." In return for these missions, the DEC will pay Calliance a fixed remuneration set at 3.2 million francs (1991) per full year.  </w:t>
        <w:br/>
        <w:t xml:space="preserve">• Amendment No. 1 to the protocol, dated June 30, 1992, aims to allow Calliance to respond to the DEC's request "to intensify its external communication actions on heat sales to address the depressed situation of the new construction market." Calliance's remuneration is increased to 1 million francs for each of the 3rd and 4th quarter deadlines of 1992.  </w:t>
        <w:br/>
        <w:t xml:space="preserve">• Amendment No. 2, dated April 5, 1993, sets Calliance's remuneration at 3.6 million francs for the 1993 fiscal year.  </w:t>
        <w:br/>
        <w:t xml:space="preserve">• Amendment No. 3, dated February 3, 1994, redefines the missions entrusted to Calliance. The latter is assigned various missions regarding the development and adaptation of "heat and cold sales" offers (legal assembly work, drafting of contractual texts, etc.). In addition, certain offers are declared priorities, such as the finalization and adaptation of the heat sales offer for new housing. In return for these missions, Calliance's remuneration is set at 2.7 million francs excluding tax for the 1994 fiscal year. For the negotiation of pilot offers, Prestagaz will be remunerated based on the time spent, at a daily rate of 5,500 francs excluding tax.  </w:t>
        <w:br/>
        <w:t xml:space="preserve">• Amendment No. 4, dated May 2, 1995, expands the scope of Calliance's missions by entrusting it with "all development work for the marketing information system for heat sales" and sets priorities for 1995. For the 1995 fiscal year, Calliance's remuneration is set at 2.5 million francs excluding tax. Regarding the negotiation of pilot offers by Calliance's operation managers, GDF's commercial management will place a specific order with Calliance based on the time spent, at a daily rate of 5,500 francs excluding tax.  </w:t>
        <w:br/>
        <w:t xml:space="preserve">• Amendment No. 5, dated June 13, 1996, renews the previous missions, assigns Calliance other missions, such as market analysis and "feedback," service definition, customer testing, sets priorities for 1996, and updates Calliance's remuneration, which is increased to 4 million francs excluding tax per year. The remuneration for the negotiation of pilot offers by Calliance's operation managers remains set at 5,500 francs excluding tax (daily rate).  </w:t>
        <w:br/>
        <w:t xml:space="preserve">2. Financial and commercial relations between SA Calliance and EDF-GDF Services centers  </w:t>
        <w:br/>
        <w:t xml:space="preserve">15. Two series of agreements govern the relations between SA Calliance and the EDF-GDF services centers, the first covering the years 1991-1993, and the second, the years 1994-1996. For the period 1991-1993, two protocols were signed.  </w:t>
        <w:br/>
        <w:t xml:space="preserve">• The first protocol, dated July 11, 1991, concerns new housing. It specifies the distribution of missions between EDF-GDF services and Calliance and refers to the conclusion of a national agreement for defining Calliance's remuneration. The national application agreements of July 11, 1991, and July 1, 1992, address the remunerations of Calliance and its subsidiary Prestagaz. This protocol was subject to 2 amendments dated July 1, 1992, and March 18, 1993, which respectively modify the remuneration conditions of Calliance and the distribution of competencies between EDF-GDF services and Calliance.  </w:t>
        <w:br/>
        <w:t xml:space="preserve">• The second protocol, dated September 25, 1991, concerns existing housing and the tertiary sector. Its implementation is governed by a national application agreement dated July 1, 1992, which specifies the remunerations of Prestagaz.  </w:t>
        <w:br/>
        <w:t xml:space="preserve">16. For the years 1994-1996, the relations between Calliance and the EDF-GDF services centers are determined by a protocol dated April 15, 1994, covering all types of housing. This protocol, which replaces the protocols of July 11 and September 25, 1991, specifies the distribution of missions between EDF-GDF services and Calliance for the sale of heat in new collective housing and existing residential and tertiary sectors, and provides for the principle of Calliance's remuneration, the conditions of which are set by a national application agreement signed on the same day.  </w:t>
        <w:br/>
        <w:t xml:space="preserve">Regarding the period from 1991 to 1993  </w:t>
        <w:br/>
        <w:t xml:space="preserve">17. Concerning new housing, the agreement protocol of July 11, 1991, defines the conditions for sharing missions between Calliance, Prestagaz, and the EGS centers by distinguishing two phases, before and after commissioning. It provides, in particular, that Prestagaz's remuneration will be set by a national agreement that can be revised annually based on results and that, "during the startup period, an additional fixed remuneration will be paid to Prestagaz by EGS." The amendment of July 1, 1992, specifies, in particular, that EGS "will pay Prestagaz a bonus calculated based on the amount of aids saved on the cases where the negotiation has succeeded without the amount of financial aids authorized by the current rules (currently GEM 85) being necessary."  </w:t>
        <w:br/>
        <w:t xml:space="preserve">18. The national agreement, also dated July 11, 1991, concerning new housing, provides for the following remunerations to be allocated to Prestagaz:  </w:t>
        <w:br/>
        <w:t xml:space="preserve">• for the support provided by Prestagaz to the EGS centers:  </w:t>
        <w:br/>
        <w:t xml:space="preserve">− a flat fee of 4,000 francs for the handling of each case;  </w:t>
        <w:br/>
        <w:t xml:space="preserve">− a remuneration of 600 francs per dwelling if the negotiation conducted by Prestagaz results in the promoter's choice of a natural gas solution (heat sale or conventional gas, individual or collective);  </w:t>
        <w:br/>
        <w:t xml:space="preserve">− a bonus – equal to 25% of the amount saved – "if the negotiation succeeds without the maximum amount of commercial participation being necessary."  </w:t>
        <w:br/>
        <w:t>• a complementary fixed remuneration, paid by EGS, set at 2 million francs for 1991 (July to December), 3 million francs for 1992, and 1 million francs for 1993, remuneration that is to disappear starting in 1994. These remuneration conditions are modified for the 1992 fiscal year by the national agreement signed between Calliance and EDF-GDF services on July 1, 1992.</w:t>
      </w:r>
    </w:p>
    <w:p>
      <w:r>
        <w:rPr>
          <w:b/>
        </w:rPr>
        <w:t>[Pages 7–9]</w:t>
      </w:r>
    </w:p>
    <w:p>
      <w:r>
        <w:t xml:space="preserve">19. Regarding existing housing and the tertiary sector, the protocol signed on September 25, 1991, defines the conditions for collaboration between Prestagaz and the EGS centers. It refers to a national agreement that can be revised annually. The agreement signed on July 1, 1992, for its implementation, provides for:  </w:t>
        <w:br/>
        <w:t xml:space="preserve">• on the markets for existing residential and tertiary sectors:  </w:t>
        <w:br/>
        <w:t xml:space="preserve">− a flat fee of 4,000 francs per operation, for handling the case;  </w:t>
        <w:br/>
        <w:t xml:space="preserve">− participation in the preliminary study and a remuneration of 4 cents/kWh PCS based on the estimated consumption for one year in the feasibility study, if the negotiation results in the promoter choosing a natural gas solution.  </w:t>
        <w:br/>
        <w:t xml:space="preserve">• on the new tertiary market, a remuneration of 4 cents/kWh PCS based on the estimated consumption for one year in the feasibility study, if the negotiation results in the promoter choosing a natural gas solution;  </w:t>
        <w:br/>
        <w:t xml:space="preserve">• on the public tertiary market, a remuneration proportional to the time spent, billed at a rate of 5,500 francs excluding tax per day, regardless of the outcome of the negotiation;  </w:t>
        <w:br/>
        <w:t>• a complementary flat fee remuneration for Prestagaz, set at 4 million francs for 1992, 2.2 million francs for 1993, and 1 million francs for 1994, this flat fee remuneration to cease from 1995.</w:t>
      </w:r>
    </w:p>
    <w:p>
      <w:r>
        <w:t xml:space="preserve">Concerning the period from 1994 to 1996  </w:t>
        <w:br/>
        <w:t xml:space="preserve">20. The protocol signed on April 15, 1994, to take into account, in particular, the evolution of the organization of Calliance and Prestagaz aims to define, for all residential and tertiary markets, the conditions for sharing tasks between Calliance, Prestagaz, and the EGS centers. It is supplemented by two annexes dated the same day, relating respectively to the distribution of tasks between the EGS centers and the Calliance-Prestagaz agencies and to the management-billing tasks for Calliance's clients. Furthermore, a national agreement of the same day aims to set, for the year 1994, the various remunerations provided for in the protocol.  </w:t>
        <w:br/>
        <w:t xml:space="preserve">21. Before commissioning, the commercial approach of the project owners is ensured by the EGS centers. For negotiations, the EGS centers call upon the Calliance-Prestagaz agencies. The remuneration for the latter includes, for new housing, a flat fee of 4,000 francs excluding tax per operation, which remains due to Prestagaz even if the operation does not succeed, and a remuneration of 600 francs excluding tax per dwelling if the negotiation results in the project owner choosing a natural gas solution. For existing residential and new and existing tertiary sectors, a flat fee of 4,000 francs excluding tax per operation is provided, which remains due to Prestagaz even if the operation does not succeed; a remuneration based on the estimated natural gas consumption for one year in the feasibility study, if the negotiation results in the project owner choosing a natural gas solution, calculated according to a decreasing scale by tranche (between 1 and 4 cents excluding tax/kWh PCS); in case of very low probability of success, a remuneration proportional to the time spent, billed on a daily basis at 5,500 francs excluding tax per day, which is due regardless of the outcome of the negotiation with the project owner.  </w:t>
        <w:br/>
        <w:t>22. After commissioning, the management-billing of clients is ensured by the EGS centers. An annual remuneration of 200 francs excluding tax per client is paid to them by Calliance for the sale of individual or distributed heat. For the sale of collective heat, the remuneration is 400 francs excluding tax per client for the sole monthly reading of indexes and 800 francs excluding tax per client for the complete management mission.</w:t>
      </w:r>
    </w:p>
    <w:p>
      <w:r>
        <w:t xml:space="preserve">23. The amounts collected from clients for specific acts (intervention for disconnection and reconnection, etc.) are returned to the EGS centers. The purchase and installation of the equipment necessary for billing Calliance's clients by the EGS centers is the responsibility of the latter. Finally, the agents of the EGS centers who carry out the management-billing tasks for Calliance's clients must have received the corresponding training, with the training costs being borne by the EGS centers.  </w:t>
        <w:br/>
        <w:t xml:space="preserve">24. Other provisions of the national agreement of April 15, 1994, provide that the national promotion of Calliance and Prestagaz offers is ensured by EGS within the framework of the operational marketing missions entrusted to it by GDF.  </w:t>
        <w:br/>
        <w:t xml:space="preserve">25. Regarding the exchange of information and technical cooperation between the EGS centers and the Calliance Prestagaz agencies, the EGS center provides all necessary assistance requested by the Calliance Prestagaz agency within the framework of its technical monitoring responsibilities. Furthermore, the EGS center "may propose to the Calliance Prestagaz agency a list of heating operators likely to respond to a call for tenders launched, if there is no technical operator, for the operation and maintenance of the primary installation of which Calliance or Prestagaz will be the owner or tenant."  </w:t>
        <w:br/>
        <w:t xml:space="preserve">3. The calls for tenders launched in 1992 and 1994 for the purchase of thermal meters  </w:t>
        <w:br/>
        <w:t xml:space="preserve">26. GDF and its subsidiary Calliance offer "global" offers for housing complexes, which include both the supply of heat and the distribution of heating charges among the dwellings. This distribution requires the use of individual thermal meters. Two services of GDF, belonging to EDF-GDF Services, participate in the selection of suppliers: the industrial policy and purchasing service (SEPIA) and the national purchasing center (CNA), which is responsible for establishing national framework contracts and ensuring the quality management of materials.  </w:t>
        <w:br/>
        <w:t xml:space="preserve">27. The results of the first call for tenders, launched in October 1992 by GDF's national purchasing center to 14 suppliers, were as follows:  </w:t>
        <w:br/>
        <w:t xml:space="preserve">Suppliers Price model 600 liters/h Price model 1500 liters/h Selected  </w:t>
        <w:br/>
        <w:t xml:space="preserve">Wateau 1100 1100 YES  </w:t>
        <w:br/>
        <w:t xml:space="preserve">Schlumberger 1150 1120 YES  </w:t>
        <w:br/>
        <w:t xml:space="preserve">ICM 1200 1180 NO  </w:t>
        <w:br/>
        <w:t xml:space="preserve">Fournitec 1440 1440 NO  </w:t>
        <w:br/>
        <w:t xml:space="preserve">Sappel 1500 1500 NO  </w:t>
        <w:br/>
        <w:t xml:space="preserve">Cometh 4630 NO  </w:t>
        <w:br/>
        <w:t xml:space="preserve">28. Two companies, Wateau and Schlumberger, were selected based on technical criteria (compliance with regulations, ease of operation) and financial criteria (price of the device). They were also the lowest bidders. Two contracts were signed on February 11, 1993, with these two companies for a duration of 12 months (from January 1 to December 31, 1993). They were for the supply of "meters allowing the measurement of the quantities of thermal energy supplied to each apartment by a centralized individual heating installation," as well as spare parts necessary for the replacement of defective parts. The devices were to comply with the regulations in force and have obtained approval from the metrology department in class 1. The needs were estimated at 4,000 meters for 1993 and the projected market amount set at 4.4 million francs excluding tax.  </w:t>
        <w:br/>
        <w:t xml:space="preserve">29. These contracts were subject to two amendments, dated November 10, 1993, which extended their duration for one year (from January 1 to December 31, 1994). The needs were estimated at 5,000 meters per year, of which 3,500 were for EDF-GDF Services, and the total projected amount was estimated at 5.6 million francs excluding tax.  </w:t>
        <w:br/>
        <w:t xml:space="preserve">30. In 1993, GDF developed a new procedure for selecting its suppliers, the aptitude examination program (PEA), which takes place in three phases: the type acceptance phase, the supplier aptitude phase, and the equipment approval or authorization for use phase.  </w:t>
        <w:br/>
        <w:t xml:space="preserve">31. In 1994, a second consultation was organized for a market of approximately 15,000 meters, with deliveries scheduled from January 1, 1995, to December 31, 1996. Six companies applied: Schlumberger Industries, Compteurs Wateau, Landis and Gyr, Gwf, Kamstrup-Metro A/S, and Sappel. The companies wishing to submit bids had to subject the devices they proposed to a series of tests (PEA). The cost of these tests, a flat fee of 50,000 francs plus 7,000 francs per day of examination, was to be borne by the candidate companies. The companies Wateau and Schlumberger were exempted from undergoing these tests, as their devices had been tested on-site during the execution of the previous contract they had been awarded. A simplified version of the aptitude examination program, for a cost limited to 20,000 francs, was offered to the company Landis &amp; Gyr, known to GDF for having concluded a supply contract for electronic meters with this public establishment in January 1991. However, this company did not follow up on this proposal, as its meter did not meet GDF's specific needs. Regarding the companies GWF, Kamstrup-Metro A/S, and Sappel, they chose not to undergo the PEA. Ultimately, the contracts were signed on November 10, 1994, with the companies Schlumberger Industries and Compteurs Wateau for a projected amount of 18 million francs excluding tax.  </w:t>
        <w:br/>
        <w:t xml:space="preserve">32. The contracts for the supply of thermal meters concluded with the companies Schlumberger and Wateau stipulated that "the provisions of the contract are applicable to all directions of EDF and GDF, as well as to their subsidiaries with majority stakes and to the installers and promoters who intervene on behalf of Calliance and Prestagaz." The total number of purchases of thermal energy meters intended for the residential sector made by GDF and Calliance is indicated in the following table:  </w:t>
        <w:br/>
        <w:t xml:space="preserve">Suppliers Clients 1993 1994 1995  </w:t>
        <w:br/>
        <w:t xml:space="preserve">Calliance 1309 1416 2494  </w:t>
        <w:br/>
        <w:t xml:space="preserve">Schlumberger  </w:t>
        <w:br/>
        <w:t xml:space="preserve">GDF 2735 3998 4784  </w:t>
        <w:br/>
        <w:t xml:space="preserve">Calliance 256 776 968  </w:t>
        <w:br/>
        <w:t xml:space="preserve">Wateau  </w:t>
        <w:br/>
        <w:t xml:space="preserve">GDF 772 480 1262  </w:t>
        <w:br/>
        <w:t>33. The purchase prices of thermal energy meters (nominal flow rate of 600 liters/hour and nominal flow rate of 1,500 liters/hour), set in the contracts signed with Wateau and Schlumberger Industries for the years 1993 and 1994, were 1,120 francs excluding tax for Schlumberger and 1,100 francs excluding tax for Wateau.</w:t>
      </w:r>
    </w:p>
    <w:p>
      <w:r>
        <w:rPr>
          <w:b/>
        </w:rPr>
        <w:t>[Pages 10–12]</w:t>
      </w:r>
    </w:p>
    <w:p>
      <w:r>
        <w:t xml:space="preserve">34. For the years 1995 and 1996, GDF negotiated the prices in francs excluding tax submitted by these two companies:  </w:t>
        <w:br/>
        <w:t xml:space="preserve">Submitted Prices Negotiated Prices  </w:t>
        <w:br/>
        <w:t xml:space="preserve">Wateau Schlumberger Wateau In % Schlumberger In %  </w:t>
        <w:br/>
        <w:t xml:space="preserve">Complete set without remote reading 1,250 1,204 1,210 - 3.2% 1,140 - 13.1%  </w:t>
        <w:br/>
        <w:t xml:space="preserve">Complete set with remote reading 1,460 1,504 1,360 - 6.8% 1,400 - 6.91%  </w:t>
        <w:br/>
        <w:t xml:space="preserve">Energy meter without remote reading 1,040 1,106 1,040 1,070 - 14.1%  </w:t>
        <w:br/>
        <w:t xml:space="preserve">Energy meter with remote reading 1,040 1,251 1,040 1,070 - 14.4%  </w:t>
        <w:br/>
        <w:t>Measurer 370 340 370 335 - 1.4%</w:t>
      </w:r>
    </w:p>
    <w:p>
      <w:r>
        <w:t xml:space="preserve">D. – NOTIFIED GRIEVANCES  </w:t>
        <w:br/>
        <w:t xml:space="preserve">35. GDF was accused, based on Article 8 of Ordinance No. 86-1243 of December 1, 1986, now Article L. 420-2 of the Commercial Code, of having:  </w:t>
        <w:br/>
        <w:t xml:space="preserve">• granted its subsidiary Calliance advantages through, in particular, the purchase prices of thermal meters and financial transfers, the object and effects, potential and real, of which were likely to introduce distortions of competition compared to companies in the sector;  </w:t>
        <w:br/>
        <w:t xml:space="preserve">• proceeded, during the calls for competition for the years 1993 to 1996, in such a way as to favor the companies Wateau and Schlumberger Industries and thus limit the exercise of competition by other companies.  </w:t>
        <w:br/>
        <w:t>The abandonment of these two grievances is proposed in the report.</w:t>
      </w:r>
    </w:p>
    <w:p>
      <w:r>
        <w:t xml:space="preserve">II. – Discussion,  </w:t>
        <w:br/>
        <w:t xml:space="preserve">On the procedure  </w:t>
        <w:br/>
        <w:t>36. Article 36, paragraph 2, of the decree of April 30, 2002, setting the conditions for the application of Book IV of the Commercial Code, provides that: "The report submits to the decision of the Competition Council an analysis of the facts and all the notified grievances." It is therefore the responsibility of the Council to examine the merits of the two notified grievances, notwithstanding the proposal to abandon these grievances subsequently formulated.</w:t>
      </w:r>
    </w:p>
    <w:p>
      <w:r>
        <w:t xml:space="preserve">On the merits  </w:t>
        <w:br/>
        <w:t xml:space="preserve">Regarding the relevant markets and the position of GDF and Calliance in these markets  </w:t>
        <w:br/>
        <w:t>37. In its decision No. 99-D-51, concerning practices observed in the sector of thermal energy applications, the Council considered that the supply of energy intended to ensure heating constituted a relevant market, characterized by a meeting of supply and demand occurring at the stage of choosing heating equipment and that it was of national dimension. Furthermore, the Council recalled the existence of a gas market, on which GDF is in a dominant position. Finally, it estimated that there was a sufficient connection between the gas market and the market for the supply of energy intended for heating, and that GDF was therefore able to abuse, in the second market, the dominant position it occupies in the first. The practices in question in this case were observed between 1992 and 1996, and no notable evolution of the competitive context justifies a different analysis of the aforementioned markets and the position held by GDF in these markets. In this case, it is necessary to verify whether GDF did not use the dominant position it occupies in the gas market to favor the development of the activity carried out by its subsidiary Calliance.</w:t>
      </w:r>
    </w:p>
    <w:p>
      <w:r>
        <w:t>38. Regarding the determination of the market affected by the activity of Calliance, GDF argues that it is the market for the supply of energy for heating.</w:t>
      </w:r>
    </w:p>
    <w:p>
      <w:r>
        <w:t>39. However, the services offered by Calliance, described by it as a "new comprehensive service for heating and hot water production," have characteristics that distinguish them from the simple supply of energy. In a brochure titled "Better Understand Calliance's Heat Sales," aimed at building professionals, these services are presented as follows: "In practice, Calliance owns the means of heat production that are installed in a boiler room within the building. It ensures the supply of natural gas, maintenance, keeping in good working order, and eventual renewal. It also takes care of the management and billing of customers." For its part, the sales director of Calliance specified, in a hearing report dated March 25, 1996: "Calliance sells a finished product that integrates delivery, production, maintenance, and management-billing of heat." Thus, the heat sales services offered by Calliance go beyond the mere supply of energy intended for heating and hot water and constitute a distinct market.</w:t>
      </w:r>
    </w:p>
    <w:p>
      <w:r>
        <w:t>40. At the time of the facts before the Council, from 1992 to 1996, Calliance was the only company to offer a comprehensive heat supply produced from natural gas. However, four other companies (Ges, Sinerg, Econoler, and Seccoia), specialized in the study of energy-saving systems, can be considered as operating in a field close to the comprehensive heat supply offer.</w:t>
      </w:r>
    </w:p>
    <w:p>
      <w:r>
        <w:t xml:space="preserve">Regarding the existence of subsidies between GDF and its subsidiary Calliance  </w:t>
        <w:br/>
        <w:t>41. In its decision No. 00-D-57 of December 6, 2000, concerning practices implemented by SEM Gaz et Électricité de Grenoble and the companies GESTE and GEG Achats in the market for service provision in the field of energy and building, the Competition Council considered "that the provision of means drawn from an activity carried out under legal monopoly for the development of activities falling within the competitive field may be qualified under Article L. 420-2 of the Commercial Code if two cumulative conditions are met: first, the provision of means must be qualified as a 'subsidy,' meaning that it does not give rise, from the benefiting activity, to financial counterparts reflecting the reality of costs; second, the support thus provided must present an abnormal character."</w:t>
      </w:r>
    </w:p>
    <w:p>
      <w:r>
        <w:t>42. Regarding, first of all, the reduced prices that Calliance benefited from through Gaz de France for the acquisition of thermal energy meters, the prices obtained are the result of GDF's purchasing power and the centralization of orders at the group level, a common practice that cannot be considered abnormal and therefore does not qualify as a subsidy.</w:t>
      </w:r>
    </w:p>
    <w:p>
      <w:r>
        <w:t>43. On the other hand, there is in the file a body of evidence suggesting that the services that Calliance received from its parent company, under the various protocols examined in points 13 to 25 of this decision, constituted subsidies and not remunerations equivalent to services rendered.</w:t>
      </w:r>
    </w:p>
    <w:p>
      <w:r>
        <w:t>44. While it is true, as GDF argues, that the flat-rate nature of a remuneration is not sufficient to qualify it as a subsidy, it appears that in this case, faced with a mission defined in the protocol of July 16, 1991, in very general terms, the flat-rate remuneration of Calliance, which was 3.2 million francs in 1991, 3.6 million francs in 1992 and 1993, 2.7 million francs in 1994, 2.5 million francs in 1995, and 4 million francs in 1996, experienced erratic evolution, increasing or decreasing from year to year, without any logical explanation accounting for these variations.</w:t>
      </w:r>
    </w:p>
    <w:p>
      <w:r>
        <w:t>45. Furthermore, it is true that the choice of a natural gas solution following a negotiation conducted by Calliance also benefits GDF, as the latter points out. However, other clauses in the protocols concluded by Calliance with the EGS centers constitute a set of services rendered by GDF to its subsidiary, without financial counterpart. This includes the purchase and installation of the equipment necessary for the billing management of Calliance's customers by the EGS centers, as well as the costs of mandatory training for EGS agents in the billing management of Calliance's customers, which are borne by the EGS centers. The same applies to the commercial approach of project owners carried out for Calliance by the EGS centers, as well as the national promotion of Calliance and Prestagaz offers by these centers within the framework of the operational marketing missions entrusted to them by GDF.</w:t>
      </w:r>
    </w:p>
    <w:p>
      <w:r>
        <w:t>46. Moreover, the arrangement presented in point 2 of Annex 1 to the protocol of April 15, 1994, between Calliance-Prestagaz and EGS under the title "information exchange and technical cooperation," constitutes, in reality, assistance granted without counterpart to Calliance-Prestagaz by the EGS center; the latter providing "all necessary and requested assistance by the Calliance Prestagaz Agency in the context of its technical monitoring responsibilities, particularly regarding information related to companies that may be retained by the project owner," and being able to "propose to the Calliance Prestagaz Agency a list of heating operators likely to respond to a call for tenders launched, if there is no technical operator, for the operation and maintenance of the primary installation of which Calliance or Prestagaz will be the owner or tenant."</w:t>
      </w:r>
    </w:p>
    <w:p>
      <w:r>
        <w:t>47. Finally, it should be noted that the aforementioned practices are not in compliance with the commitments made by GDF following the opinion of the Council No. 94-A-15 of May 10, 1994, concerning the diversification of the activities of EDF and GDF, which specified, in particular, that the information held by GDF (and EDF) in the exercise of its missions, when concerning customers and their installations, should not be disclosed to subsidiaries for solicitation purposes in competitive markets, unless access to this information is guaranteed to all economic actors and that GDF agents are no longer associated, in any way, with the commercial activity of the subsidiaries.</w:t>
      </w:r>
    </w:p>
    <w:p>
      <w:r>
        <w:t xml:space="preserve">Regarding the abuse of dominant position  </w:t>
        <w:br/>
        <w:t>48. As the Council established in its decision No. 00-D-47 Citelum, it is lawful for a public enterprise that has a dominant position in a market by virtue of a legal monopoly to enter one or more markets in competitive sectors, provided that it does not abuse its dominant position to restrict or attempt to restrict access to the market for its competitors by resorting to means other than competition on merits.</w:t>
      </w:r>
    </w:p>
    <w:p>
      <w:r>
        <w:t>49. A public enterprise with a legal monopoly that uses the resources of its monopolistic activity to subsidize a new activity does not, by that sole fact, violate the provisions of Article L. 420-2 of the Commercial Code. It is susceptible, in</w:t>
      </w:r>
    </w:p>
    <w:p>
      <w:r>
        <w:rPr>
          <w:b/>
        </w:rPr>
        <w:t>[Pages 13–15]</w:t>
      </w:r>
    </w:p>
    <w:p>
      <w:r>
        <w:t>in contrast, may constitute an abuse, under the terms of the aforementioned decision as well as decision no. 00-D-50 concerning practices implemented by the French Games Company, the fact that a company holding a legal monopoly, that is to say, a monopoly whose acquisition did not involve any expenditure and is not subject to challenge, uses all or part of the surplus resources generated by its monopolistic activity to subsidize an offer presented in a competitive market, when the subsidy is used to practice predatory pricing or when it has conditioned a commercial practice, which, although not predatory, has led to a lasting disruption of the market that would not have occurred without it.</w:t>
      </w:r>
    </w:p>
    <w:p>
      <w:r>
        <w:t>50. Regarding predatory pricing, the Competition Council defined, in its decision no. 00-D-70 of January 31, 2001, concerning the competitive situation in the record distribution sector in Paris, two situations:</w:t>
        <w:br/>
        <w:t>• "A selling price of a good or service that is persistently below the average variable production costs of that good or service establishes a presumption of intent to eliminate competitors and is in itself a predatory price";</w:t>
        <w:br/>
        <w:t>• "A selling price below the average total production costs, which include fixed and variable costs, but above the average variable costs, must be considered as constituting a predatory practice, as long as the price is set at this level to eliminate a competitor from the market," such an intent to eliminate may "either be manifested by documents that state it, or be inferred from the behavior of the company in question, particularly when its pricing policy is differentiated from its usual commercial policy without any other reason being able to explain it or when it has a manifest target of a competitor to eliminate."</w:t>
      </w:r>
    </w:p>
    <w:p>
      <w:r>
        <w:t>51. In light of the preceding case law, the situation of the company Calliance is as follows:</w:t>
        <w:br/>
        <w:t>1993* 1994 1995 1996</w:t>
        <w:br/>
        <w:t>Variable charges on business 1,517,000 41,787,000 56,138,000 72,124,000</w:t>
        <w:br/>
        <w:t>Fixed charges 7,444,000 18,158,000 16,895,000 16,555,000</w:t>
        <w:br/>
        <w:t>Total charges (variable charges + fixed charges) 8,961,000 59,945,000 73,033,000 88,679,000</w:t>
        <w:br/>
        <w:t>Turnover 1,431,000 46,795,000 62,824,000 79,182,000</w:t>
        <w:br/>
        <w:t>* figures for the sole Calliance SA, engaged in the activity of selling individual heat, the sale of collective heat being carried out by Prestagaz.</w:t>
      </w:r>
    </w:p>
    <w:p>
      <w:r>
        <w:t>Thus, the turnover of the company Calliance remained above its variable charges, except for the year of the start of the activity, which cannot be analyzed as betraying the predatory nature of the prices charged. In contrast, the operation resulted, over the four years of Calliance's existence, in a significant deficit (7.5 million francs in 1993, 12.15 million francs in 1994, 10.2 million francs in 1995, and 9.5 million francs in 1996) which led Calliance to cease the development of its activity in 1996 and to transfer the ongoing contracts to the GIE Calliance management for it to manage them until their completion. The decision thus taken by GDF to terminate an unprofitable activity cannot, in the absence of other elements, be considered as participating in a strategy to close the market.</w:t>
      </w:r>
    </w:p>
    <w:p>
      <w:r>
        <w:t>52. Regarding the potential lasting disruption of the market, GDF argues that the practices attributed to it could not have had any effect on non-existent competitors and on a market whose non-profitable nature is evidenced by the absence of entrants, the said market having, moreover, disappeared with the suspension of the company Calliance in 1996.</w:t>
      </w:r>
    </w:p>
    <w:p>
      <w:r>
        <w:t>53. Although it cannot be excluded that the non-existence of competitors also finds an explanation in the accumulation of advantages granted by GDF to its subsidiary Calliance, which made it all the more difficult for potential entrants to challenge the position of this company, it is not permissible, in this case, to conclude to a lasting disruption effect on the market in the terms of the aforementioned case law, given the failure that the company Calliance encountered quite quickly in developing its overall heat offer, after only a few years of operation. The low success of the heat offer proposed by Calliance to potential users is reflected in the following table, which compares the heat sales by Calliance to the gas consumption in the residential sector:</w:t>
        <w:br/>
        <w:t>1993 1994 1995 1996</w:t>
        <w:br/>
        <w:t>Billions of kWh sold by Calliance 0.002 0.010 0.017 0.026</w:t>
        <w:br/>
        <w:t>Billions of kWh consumed in the residential sector (gas) 144.5 149 150.5 153.9</w:t>
      </w:r>
    </w:p>
    <w:p>
      <w:r>
        <w:t>54. The Government Commissioner nevertheless argues that, even if the subsidies granted by GDF to its subsidiary had no significant effect on the market, their purpose was anti-competitive and should be sanctioned as such.</w:t>
      </w:r>
    </w:p>
    <w:p>
      <w:r>
        <w:t>55. However, the elements present in the file do not establish that GDF pursued an anti-competitive purpose. Furthermore, the subsidies granted by GDF to its subsidiary were not of a nature and amount such that the pursuit of such a purpose would be established by the very existence of these subsidies.</w:t>
      </w:r>
    </w:p>
    <w:p>
      <w:r>
        <w:t>Regarding the contracts concluded by GDF for the purchase of thermal meters</w:t>
      </w:r>
    </w:p>
    <w:p>
      <w:r>
        <w:t>56. Article L 410-1 of the Commercial Code states: "The rules defined in this book [book IV - On the freedom of prices and competition] apply to all activities of production, distribution, and services, including those carried out by public entities, particularly within the framework of public service delegation agreements."</w:t>
      </w:r>
    </w:p>
    <w:p>
      <w:r>
        <w:t>57. GDF argues that thermal meters are purchased for its own account in order to incorporate them into its activity. It claims to own them and to be the only one to use them. It adds that these materials are not marketed to third parties and concludes that by purchasing these meters, it did not engage in an economic activity within the meaning of the aforementioned article L. 410-1 of the Commercial Code.</w:t>
      </w:r>
    </w:p>
    <w:p>
      <w:r>
        <w:t>58. However, the thermal energy meters purchased by GDF, for its own account or for that of its subsidiary Calliance, must serve to measure the amount of heat delivered for heating and hot water in each dwelling of a building and to bill the various occupants for the quantities actually consumed. The individualization of the consumption of each dwelling, which these meters allow, constitutes one of the elements of the product developed by GDF under the name of "centralized individual heating."</w:t>
      </w:r>
    </w:p>
    <w:p>
      <w:r>
        <w:t>59. Thus, when GDF purchases thermal energy meters, it does not act as a final user, but with the aim of marketing them by integrating them into the heat sales service. The purchase of individual thermal meters is inseparable from the heat sales activity and, conversely, the heat sales activity could not exist without the marketing of said meters. The purchase of these meters therefore falls within the scope of the aforementioned article L. 410-1, and the Competition Council is competent to examine the practices denounced.</w:t>
      </w:r>
    </w:p>
    <w:p>
      <w:r>
        <w:t>60. In its decisions no. 00-D-13 of March 1, 2000, concerning a request for interim measures presented by Armor Hélicoptère, no. 00-D-48 of October 10, 2000, concerning a referral presented by Ipcos, and no. 02-D-65 of October 28, 2002, concerning the referral of LMCA against EDF practices, the Competition Council, recalling the principle of the buyer's freedom of choice, considered, in particular, that EDF "is free to choose its suppliers by formulating certain technical requirements in compliance with the applicable regulations." Furthermore, GDF, in this particular case, had already been able to verify the performance and technical qualities of the thermal energy meters sold by Schlumberger and Wateau and had, consequently, exempted them from undergoing the aptitude examination program. No element establishes that its decision was dictated by the intent to eliminate other suppliers from the market, and this intent is not demonstrated by the fact that several companies refrained from submitting their applications due to the cost, perceived as high, of the qualification procedure. It is therefore not established that GDF's practice had an anti-competitive purpose or that it disrupted or could disrupt the functioning of competition.</w:t>
      </w:r>
    </w:p>
    <w:p>
      <w:r>
        <w:t>DECISION</w:t>
        <w:br/>
        <w:t>Single Article: It is not established that GDF violated the provisions of article L. 420-2 of the Commercial Code.</w:t>
        <w:br/>
        <w:t>Deliberated, on the oral report of Ms. de Mallmann, by Ms. Pasturel, Vice-President, presiding over the session, Ms. Behar-Touchais, Ms. Perrot, and Ms. Mader-Saussaye, as well as Mr. Flichy, members.</w:t>
        <w:br/>
        <w:t>The session secretary The Vice-President, presiding over the session</w:t>
        <w:br/>
        <w:t>Nadine Bellegarde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