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https://www.autoritedelaconcurrence.fr/fr/decision/relative-des-pratiques-relevees-entre-entreprises-soumissionnaires-lors-des-appels-doffres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91-D-41 of October 22, 1991  </w:t>
        <w:br/>
        <w:t xml:space="preserve">concerning practices observed among bidding companies during the tenders  </w:t>
        <w:br/>
        <w:t xml:space="preserve">issued by the specialized hospital center of Villejuif  </w:t>
        <w:br/>
        <w:t xml:space="preserve">The Competition Council,  </w:t>
        <w:br/>
        <w:t xml:space="preserve">Having regard to the letter registered on May 5, 1988, under number F 158, by which the Minister of State,  </w:t>
        <w:br/>
        <w:t xml:space="preserve">Minister of Economy, Finance, and Budget, referred to the Competition Council  </w:t>
        <w:br/>
        <w:t xml:space="preserve">concerted practices among bidding companies during the tenders issued by the  </w:t>
        <w:br/>
        <w:t xml:space="preserve">specialized hospital center of Villejuif;  </w:t>
        <w:br/>
        <w:t xml:space="preserve">Having regard to Ordinance No. 86-1243 of December 1, 1986, concerning the freedom of prices and  </w:t>
        <w:br/>
        <w:t xml:space="preserve">competition, as amended, together with Decree No. 86-1309 of December 29, 1986, as amended, adopted  </w:t>
        <w:br/>
        <w:t xml:space="preserve">for its application;  </w:t>
        <w:br/>
        <w:t xml:space="preserve">Having regard to the judgment of the Court of Cassation of November 20, 1990, overturning and annulling the  </w:t>
        <w:br/>
        <w:t xml:space="preserve">order of June 19, 1987, of the president of the High Court of Reims;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ruling on the appeals filed by the companies S.O.G.E.A.-Est and Fourre-Rhodes, the Court of Cassation  </w:t>
        <w:br/>
        <w:t xml:space="preserve">overturned and annulled the order made on June 19, 1987, by the president of the High Court of Reims to authorize  </w:t>
        <w:br/>
        <w:t xml:space="preserve">the investigators of the Directorate of Competition, Consumption, and Fraud Prevention to carry out visits and  </w:t>
        <w:br/>
        <w:t xml:space="preserve">seizures in the premises of the companies S.N.R.D., Thouraud, Citra, Rontaix, S.O.G.E.A.-Est,  </w:t>
        <w:br/>
        <w:t xml:space="preserve">La Felletinoise, S.P.E., Fourre-Rhodes, S.N.C.P., and Entreprise industrielle;  </w:t>
        <w:br/>
        <w:t xml:space="preserve">Considering, therefore, that the irregularly seized documents cannot be retained as evidence and must be  </w:t>
        <w:br/>
        <w:t xml:space="preserve">separated; that the minutes of hearings and the supplementary documents communicated during the investigation  </w:t>
        <w:br/>
        <w:t xml:space="preserve">referring, directly or indirectly, to the content of the irregularly seized documents must also be excluded; that the  </w:t>
        <w:br/>
        <w:t xml:space="preserve">passages of the administrative report that are based on information drawn from all these elements of the file can no  </w:t>
        <w:br/>
        <w:t>longer be used;</w:t>
      </w:r>
    </w:p>
    <w:p>
      <w:r>
        <w:t xml:space="preserve">Considering that the only elements remaining in the file are not sufficient to establish the existence of  </w:t>
        <w:br/>
        <w:t xml:space="preserve">anti-competitive practices among the bidding companies; that it is therefore appropriate to apply the provisions of  </w:t>
        <w:br/>
        <w:t xml:space="preserve">Article 20 of the ordinance of December 1, 1986,  </w:t>
        <w:br/>
        <w:t xml:space="preserve">Decides:  </w:t>
        <w:br/>
        <w:t xml:space="preserve">Single Article. - There is no need to continue the proceedings.  </w:t>
        <w:br/>
        <w:t xml:space="preserve">Deliberated in permanent commission on the report of Ms. Favre, in its session of October 22, 1991, where sat:  </w:t>
        <w:br/>
        <w:t xml:space="preserve">Mr. Laurent, president;  </w:t>
        <w:br/>
        <w:t xml:space="preserve">Messrs. Béteille and Pineau, vice-presidents.  </w:t>
        <w:br/>
        <w:t xml:space="preserve">The substitute general rapporteur, The president,  </w:t>
        <w:br/>
        <w:t xml:space="preserve">Mr. Santarelli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