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https://www.autoritedelaconcurrence.fr/fr/decision/relative-des-pratiques-relevees-loccasion-des-marches-publics-conclus-par-les-communes-de</w:t>
      </w:r>
    </w:p>
    <w:p>
      <w:r>
        <w:t>Pages translated : 2</w:t>
      </w:r>
    </w:p>
    <w:p/>
    <w:p>
      <w:r>
        <w:rPr>
          <w:b/>
        </w:rPr>
        <w:t>[Pages 1–2]</w:t>
      </w:r>
    </w:p>
    <w:p>
      <w:r>
        <w:t xml:space="preserve">FRENCH REPUBLIC  </w:t>
        <w:br/>
        <w:t xml:space="preserve">Decision No. 93-D-23 of June 9, 1993  </w:t>
        <w:br/>
        <w:t xml:space="preserve">concerning practices noted during the public contracts concluded  </w:t>
        <w:br/>
        <w:t xml:space="preserve">by the municipalities of Martigues and Saint-Mitre-les-Remparts (Bouches-du-Rhône)  </w:t>
        <w:br/>
        <w:t xml:space="preserve">The Competition Council (standing committee),  </w:t>
        <w:br/>
        <w:t xml:space="preserve">Having regard to the letter registered on April 26, 1989, under number F 241, by which the Minister of State,  </w:t>
        <w:br/>
        <w:t xml:space="preserve">Minister of Economy, Finance, and Budget, referred to the Competition Council  </w:t>
        <w:br/>
        <w:t xml:space="preserve">practices implemented during the awarding of public works contracts by the  </w:t>
        <w:br/>
        <w:t xml:space="preserve">municipalities of Martigues and Saint-Mitre-les-Remparts (Bouches-du-Rhône);  </w:t>
        <w:br/>
        <w:t xml:space="preserve">Having regard to Ordinance No. 86-1243 of December 1, 1986, concerning the freedom of prices and  </w:t>
        <w:br/>
        <w:t xml:space="preserve">competition, as amended, together with Decree No. 86-1309 of December 29, 1986, as amended, adopted  </w:t>
        <w:br/>
        <w:t xml:space="preserve">for its application;  </w:t>
        <w:br/>
        <w:t xml:space="preserve">Having regard to the ruling of the Court of Cassation of April 7, 1992, overturning and annulling the order of September 12, 1988, of the President of the High Court of Aix-en-Provence;  </w:t>
        <w:br/>
        <w:t xml:space="preserve">Having regard to the observations presented by the Government Commissioner;  </w:t>
        <w:br/>
        <w:t xml:space="preserve">Having regard to the other documents in the file;  </w:t>
        <w:br/>
        <w:t xml:space="preserve">The rapporteur, the general rapporteur, the Government Commissioner heard, and the representative of the companies Cochery-Bourdin and Chaussé and Sogea heard;  </w:t>
        <w:br/>
        <w:t xml:space="preserve">Considering that, by the aforementioned ruling, upon appeal by the company Trunfio, the Court of Cassation (commercial, financial, and economic chamber) overturned and annulled the order made on September 12, 1988, by the President of the High Court of Aix-en-Provence, which had authorized the agents of the General Directorate for Competition, Consumption, and Fraud Prevention, under Article 48 of the Ordinance of December 1, 1986, to carry out visits and seizures in the premises of the companies Palomares and Trunfio;  </w:t>
        <w:br/>
        <w:t xml:space="preserve">Considering, therefore, that the irregularly seized documents in the premises of the companies Palomares and Trunfio must be separated; that the submission of documents by the company Trunfio during a visit conducted, according to the procedure provided for in Article 47 of the Ordinance of December 1, 1986, on October 19, 1988, does not present, with respect to the irregularly conducted seizures, an autonomy that would allow this submission to be regarded as regular: that the minutes of hearings established by the investigators and the rapporteur and the additional documents communicated during the investigation or instruction, as they refer to or are directly or indirectly related to the content of the irregularly seized documents, must also be excluded; that the passages of the administrative report and the notification of grievances that are established from information or mentions drawn from these elements of the file cannot be used either;  </w:t>
        <w:br/>
        <w:t xml:space="preserve">Considering that, the only documents remaining in the file do not contain elements allowing the proof of anti-competitive practices to be established, it is appropriate to apply the provisions of Article 20 of the Ordinance of December 1, 1986,  </w:t>
        <w:br/>
        <w:t xml:space="preserve">Decides:  </w:t>
        <w:br/>
        <w:t xml:space="preserve">Sole Article. - There is no need to continue the procedure.  </w:t>
        <w:br/>
        <w:t xml:space="preserve">Adopted, on the report of Ms. Simone de Mallmann, by Messrs. Barbeau, President, Jenny, Vice-President, and Cortesse, member, designated in replacement of Mr. Béteille.  </w:t>
        <w:br/>
        <w:t xml:space="preserve">The substitute general rapporteur, The President,  </w:t>
        <w:br/>
        <w:t xml:space="preserve">Madeleine Santarelli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