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https://www.autoritedelaconcurrence.fr/fr/decision/relative-des-pratiques-relevees-loccasion-dun-appel-doffres-pour-lexploitation-de-la</w:t>
      </w:r>
    </w:p>
    <w:p>
      <w:r>
        <w:t>Pages translated : 8</w:t>
      </w:r>
    </w:p>
    <w:p/>
    <w:p>
      <w:r>
        <w:rPr>
          <w:b/>
        </w:rPr>
        <w:t>[Pages 1–3]</w:t>
      </w:r>
    </w:p>
    <w:p>
      <w:r>
        <w:t xml:space="preserve">FRENCH REPUBLIC  </w:t>
        <w:br/>
        <w:t xml:space="preserve">Decision No. 92-D-40 of June 16, 1992  </w:t>
        <w:br/>
        <w:t xml:space="preserve">regarding practices identified during a tender for the operation of the boiler room of the general hospital center of Dieppe  </w:t>
        <w:br/>
        <w:t xml:space="preserve">The Competition Council (section 2),  </w:t>
        <w:br/>
        <w:t xml:space="preserve">Having regard to the letter registered on June 13, 1988, under number F 166, by which the Minister of State, Minister of Economy, Finance and Budget referred to the Competition Council the behavior of five companies that participated in a tender concerning the operation of the boiler room of the general hospital center of Dieppe;  </w:t>
        <w:br/>
        <w:t xml:space="preserve">Having regard to Ordinances No. 45-1483 and No. 45-1484 of June 30, 1945, as amended, relating respectively to prices and to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having requested to present oral observations, having been heard;  </w:t>
        <w:br/>
        <w:t xml:space="preserve">Adopts the decision based on the findings (I) and the reasons (II) set out below:  </w:t>
        <w:br/>
        <w:t xml:space="preserve">I. - FINDINGS  </w:t>
        <w:br/>
        <w:t xml:space="preserve">The operation of the boiler room of the general hospital center (C.H.G.) of Dieppe has been ensured since 1976 by the company Thermical. In August 1986, as the contract of this company was about to expire, the C.H.G. of Dieppe launched a restricted tender.  </w:t>
        <w:br/>
        <w:t>Six heating companies submitted bids for this contract: S.A. Blanzy-Ouest, which became Esys (turnover excluding tax in 1986 of 1,300 MF), S.A. Compagnie générale de chauffage à distance (C.G.C.D.), which became Ines (turnover excluding tax in 1986 of 102 MF), S.A. Geteba (turnover in the heating sector excluding tax in 1986 of 60 MF), S.A. Montenay (turnover in the heating sector of 1,100 MF in 1986), S.A. Nouvelle de chauffage (Sochan, turnover excluding tax in 1986 of 528 MF), and S.A. Thermical (turnover excluding tax in 1986 of 100 MF).</w:t>
      </w:r>
    </w:p>
    <w:p>
      <w:r>
        <w:t xml:space="preserve">The deadline for submitting bids was September 20, 1986. On October 1, 1986, the tender committee decided to accept the proposals from the company Thermical, the lowest bidder, for an annual amount of 2,226,346 F, excluding hot water. The contract, concluded for a duration of sixteen years, concerned six main buildings constructed from 1857 to 1980, four heated by gas, two by oil, the Michel castle, and the T building of the general hospital. It included the following services:  </w:t>
        <w:br/>
        <w:t xml:space="preserve">- the supply of fuel necessary for heating the buildings and producing domestic hot water (service P 1 and e);  </w:t>
        <w:br/>
        <w:t xml:space="preserve">- the supply of water treatment products (service Te);  </w:t>
        <w:br/>
        <w:t xml:space="preserve">- the operation, monitoring, and minor maintenance of the installations (service P 2);  </w:t>
        <w:br/>
        <w:t xml:space="preserve">- major maintenance with total guarantee of the installations (service P 3).  </w:t>
        <w:br/>
        <w:t xml:space="preserve">For each of the requested services, the bidding companies had to propose a fixed annual price, broken down by building for item P 1, and allocated among the six boiler rooms and the eighteen substations of the general hospital for items P 2 and P 3. To establish their offers, they had access to the information mentioned in the special technical specifications (C.C.T.P.) supplemented by S.A. Sodeti, the project manager, and had about three weeks. The managers of the companies Esys and Montenay stated that they could not devote much time to studying this contract (documents nos. 59/8 and 61/5). The companies Geteba and Ines did not visit the installations.  </w:t>
        <w:br/>
        <w:t xml:space="preserve">The administrative investigation revealed that the proposals of the bidding companies, except for those of the company Sochan, were linked to each other by a generally constant gap to the thousandth within each of the items P 1, P 2, and P 3. Only the company Thermical was able to produce, on the spot, the calculations justifying its offer. The managers of the companies Ines and Montenay stated that they had destroyed these preparatory documents due to the age of the contract. The study from the company Geteba was submitted to the investigators on March 5, 1987, eight days after their intervention. The one from the company Esys was only added to the file on November 22, 1988.  </w:t>
        <w:br/>
        <w:t xml:space="preserve">A. - The calculation of the price for item P 1  </w:t>
        <w:br/>
        <w:t xml:space="preserve">(supply of fuel)  </w:t>
        <w:br/>
        <w:t>The investigation showed that despite the common information available to the companies, they adopted different approaches and data. The companies Esys, Ines, Montenay, and Thermical determined the price of the fuel necessary for heating the C.H.G. based on the total energy consumption per building after subtracting the energy consumption intended for the production of domestic hot water (documents nos. 27, 40, 59/8, and 61-5). The company Geteba grouped the buildings into three categories, and the amount of fuel necessary for heating each of them was calculated by multiplying by a coefficient, called 'coefficient G', representing the amount of energy required to heat one cubic meter by one degree for one hour the total volume of the buildings in each group (document no. 60). However, as most of the managers heard acknowledged, the results obtained by the different methods are rarely identical and can have discrepancies of up to 20 percent (documents nos. 59, 60, 61, and 62).</w:t>
      </w:r>
    </w:p>
    <w:p>
      <w:r>
        <w:t xml:space="preserve">A number of data not included in the C.C.T.P. led to estimates based on divergent methods. Thus, for the calculation of the annual consumption of domestic hot water, the company Thermical referred to the average consumption per establishment over the last three fiscal years, while other companies evaluated it based on ratios per bed provided by the Sodeti firm or drawn from their own experience (documents nos. 35, 48, 59/8, and 61/5). Similarly, the amount of energy required to heat a cubic meter of domestic hot water was determined by professionals based on their estimation of the efficiency of the installations, an estimation likely to vary from 3 to 5 percent from one company to another, according to the statements of the technicians from the Sodeti firm. Finally, the company Thermical used data distinct from those of the other companies. The author of the study corrected the data from the C.C.T.P. by accurately assessing the consumption of the different buildings and increased the item related to the general hospital by an amount of 56,950 F to finance the installation of a remote management system (documents nos. 34 and 35). He also retained estimates regarding energy savings different from the indications provided by the Sodeti firm (documents nos. 32 and 48).  </w:t>
        <w:br/>
        <w:t xml:space="preserve">Only the allocation of item P 1 of the general hospital among the twenty-one buildings comprising this set was carried out according to a distribution key common to the five bidding companies. They stated that they allocated the price in proportion to the heated volumes communicated in the C.C.T.P. However, the figures proposed for items E, M, P, and W by the companies Esys, Geteba, Ines, and Thermical do not coincide with this method.  </w:t>
        <w:br/>
        <w:t xml:space="preserve">To justify their proposals, the managers of the company Ines explained that they had underestimated the consumption of buildings, considering that they were directly connected to the central boiler room since the C.C.T.P. did not mention their connection to a substation. However, on the one hand, this working hypothesis is unfounded given the existence of a primary distribution circuit by substation per building, along the route of which these buildings are located, and the fact that the plan of the central boiler room does not show any diversion from the primary circuit nor the allocation of a boiler to distinct buildings. On the other hand, the application of the reducing coefficients does not coincide with the explanations provided: the investigation notably showed that the consumption of buildings A and P, connected to a substation, had been underestimated, unlike the consumption of buildings O and Q, not connected in the C.C.T.P. to a substation (annex E and report pages 13 and 14). The author of the study from the company Thermical, Mr. Delmaire, explained the observed discrepancies by calculation errors on buildings E, M, P, and W that were 'corrected on building W to reach a total of 100' (document no. 34).  </w:t>
        <w:br/>
        <w:t xml:space="preserve">The prices proposed by the companies Esys, Geteba, and Ines deviating from the distribution based on the heated volumes for the same four buildings, these companies copied the offer of the company Thermical by reproducing the calculation errors of this company, which is not the case for the company Montenay whose evaluations deviate from a distribution based on volumes for eleven of the buildings.  </w:t>
        <w:br/>
        <w:t>The studies provided by the companies Esys and Geteba to justify their offers are incomplete and present anomalies that have been highlighted by the investigation.</w:t>
      </w:r>
    </w:p>
    <w:p>
      <w:r>
        <w:rPr>
          <w:b/>
        </w:rPr>
        <w:t>[Pages 4–6]</w:t>
      </w:r>
    </w:p>
    <w:p>
      <w:r>
        <w:t>Regarding Esys, the final proposals were established by the head of the local agency in Amfreville-La-Mi-Voie, who did not retain a record of his calculations. The document provided by Esys, drafted at the headquarters, mentions the cost price of each building and sets a commercial margin as an indication. Examination of the document shows that the service prices, although proportional to those of Thermical, are based on different data than those used by this company, approximate or even erroneous calculations, as well as contradictions (document no. 64/1). Notably, the consumption of domestic hot water, calculated from bed ratios developed by the company, was increased by coefficients varying from 1 to 2. According to the author of the study, these coefficients would be safety margins calculated empirically and intended to compensate for the uncertainties of domestic hot water consumption related to patient care. However, the use of these coefficients has the effect of reducing the energy consumption necessary for heating the buildings and thus the price of item P 1, which is contrary to the assumption of a safety margin (document no. 59/30). Furthermore, the perfect concordance between the study and the final offer would imply that the margins were set with extreme precision according to differentiated rates and to the hundredth of a unit.</w:t>
      </w:r>
    </w:p>
    <w:p>
      <w:r>
        <w:t>As for the company Geteba, the coefficient G retained for the calculation of item P 1 is the same for all buildings, whereas these were constructed at different times. The distribution of the fuel price among the establishments was not carried out based on volumes for groups 2 and 3, whereas this criterion was retained for the calculation of the service cost. Finally, the price of the oil necessary for heating the Michel castle, calculated based on a heated volume of 3,293 cubic meters, is proportional to that of the company Thermical, obtained from energy consumption. However, the C.C.T.P. contained a significant error, which should have disrupted the proportionality of the offers, the actual volume of the Michel castle being 12,530 cubic meters.</w:t>
      </w:r>
    </w:p>
    <w:p>
      <w:r>
        <w:t>The author of the study arrived at this result by dividing the number of 'degree-days' used as the basis for calculating the power of the installation by three. He stated during his hearing on November 21, 1988: 'We divided the number of degree-days by three because the premises seem underheated; the power of the boiler is not in relation to the heated volume.' However, on the one hand, reducing the number of degree-days results in a decrease in the heating duration of the building or its indoor temperature, whereas the Château-Michel is a residence for elderly people, heated to 21 °C, for nine months; on the other hand, the number of degree-days was divided by 2.9 and not by 3. The choice of this figure allows for a rigorous parallelism with the offer of the company Thermical.</w:t>
      </w:r>
    </w:p>
    <w:p>
      <w:r>
        <w:t xml:space="preserve">B. - The calculation of the price of item P 2 (maintenance of the boiler room)  </w:t>
        <w:br/>
        <w:t>Although the methods for calculating this service are widely disseminated throughout the profession by trade unions, the evaluation of item P 2 was based on estimates related to the distribution of working time and the hourly labor cost that were not included in the C.C.T.P. and for which the companies adopted opposing and empirical approaches. The company Thermical calculated the service, building by building, by multiplying the number of hours worked by its staff during the year 1985 - increased to account for 'increased efficiencies', totaling 1,910 hours - by the cost of the hour of work, determined based on specific technical and commercial elements (document no. 40). It also increased the 'air extractor' item, which was reduced in the previous contract, and 'distributed the revaluation among the six main buildings to avoid showing an excessive increase on that item' (document no. 34).</w:t>
      </w:r>
    </w:p>
    <w:p>
      <w:r>
        <w:t>The companies Esys, Geteba, Ines, and Montenay, on the other hand, conducted a global evaluation or cost of item P. 2, estimating the number of agents responsible for the maintenance of the boiler room at two, resulting in 3,360 to 3,780 hours of work according to the companies. All companies stated that they had approximately allocated the price between the central boiler room and the eighteen substations of the general hospital, based on the specificity of the installations. Examination of the study submitted by the company Esys shows a total lack of concordance between the study and the final offer (document no. 64/13) and therefore does not justify the proposals of this company.</w:t>
      </w:r>
    </w:p>
    <w:p>
      <w:r>
        <w:t>Regarding Geteba, the calculations performed show that the working time retained for the maintenance of each building is proportional to the working time calculated from the offer of the company Thermical by dividing the cost of the service for each building by the cost of the hour of work (document no. 65/12). The offer is therefore rigorously modeled on that of Thermical. The author of the study did not provide precise explanations on the method used, merely indicating that he had allocated the cost of maintaining the boiler room among the buildings 'based on the number of hours required by each of them'.</w:t>
      </w:r>
    </w:p>
    <w:p>
      <w:r>
        <w:t xml:space="preserve">C. - The calculation of the price of item P 3 (guarantee of the installations)  </w:t>
        <w:br/>
        <w:t>The annual fee due for item P 3 was determined based on the age and lifespan of the installations, the cost of renewing the equipment, and the duration of the contract. The first two elements required technical estimates from the companies. Except for Thermical, which had precise information due to its knowledge of the market, the companies estimated the age of the equipment based on the indications provided in the C.C.T.P. According to the statements of the technicians from the Sodeti firm, this assessment varies among companies: 'Based on the description provided and without needing to visit the site, the heating engineer can indicate a range of three to five years to estimate the date of installation of the equipment' (document no. 48).</w:t>
      </w:r>
    </w:p>
    <w:p>
      <w:r>
        <w:t>Regarding the lifespan of the equipment, 'each specialist estimates it within a range of a few years, also making choices based on the condition of the equipment and the end date of the contract in relation to the end of the expected lifespan of the equipment' (document no. 48). Companies sometimes use lifespan tables disseminated by trade unions, which they refine based on their own experience. These tables generally indicate for each type of equipment a minimum and maximum lifespan, with the gap between the two data points potentially reaching ten years.</w:t>
      </w:r>
    </w:p>
    <w:p>
      <w:r>
        <w:t>The company Thermical followed, for its part, a specific approach. It based its calculations on a study dating from 1984, designed for a ten-year contract, and updated on May 28 and September 15, 1986. The cost of renewing the equipment considered is a supplier price from 1984 increased by discounts estimated at approximately 23 percent, while most other companies retained the public rates of suppliers. For the establishments USN 1, USN 2, and V 200, certain updates were mistakenly made twice, and energy-saving works carried out in 1986 were not always taken into account (document no. 35). Finally, the company Thermical planned works intended to improve the functioning of the T building of the general hospital and the children's home for an amount of 18,620 F.</w:t>
      </w:r>
    </w:p>
    <w:p>
      <w:r>
        <w:t>The studies of the companies Esys and Geteba provided little detail on the calculation method for this item. The company Geteba merely listed the cost prices alongside the description of the installations without further explanation. The figures proposed by the company Esys, although proportional to those of the company Thermical, contain numerous approximations regarding the equipment of the substations and the configuration of the buildings (document no. 61/4) and do not include margins. These documents therefore do not explain the offers proposed by the companies.</w:t>
      </w:r>
    </w:p>
    <w:p>
      <w:r>
        <w:t xml:space="preserve">II. - BASED ON THE ABOVE FINDINGS, THE COUNCIL  </w:t>
        <w:br/>
        <w:t xml:space="preserve">On the procedure:  </w:t>
        <w:br/>
        <w:t xml:space="preserve">Considering that Article 18 of the ordinance of December 1, 1986, cited above, states that the investigation and the procedure before the Competition Council are fully adversarial; that the modalities for applying this principle are defined by Article 20 of the same text when the council decides not to pursue the procedure and by Article 21 when a notification of grievances is established; that in this case, the proposal for non-suit following a simple preparatory inquiry did not, under the provisions of Article 20 of the aforementioned ordinance, need to be communicated to anyone other than the Government Commissioner and the author of the referral; that under the provisions of Article 25, only the parties and the Government Commissioner may attend the council sessions; that, therefore, the companies, which at this stage of the procedure did not have the status of parties within the meaning of this text, cannot claim a violation of the principle of adversarial proceedings;  </w:t>
        <w:br/>
        <w:t xml:space="preserve">Considering that the internal measures taken by the council regarding the investigation of a case do not constitute decisions subject to contentious recourse within the meaning of Article 15 of the ordinance, this text referring to decisions of inadmissibility or non-suit and those by which the council rules on the merits of the case;  </w:t>
        <w:br/>
        <w:t xml:space="preserve">Considering that, the council having conducted the investigation of the case on the merits, the notification of grievances and then the report were regularly notified to the interested companies in accordance with Article 21 of the ordinance of December 1, 1986, cited above; that under the same text these companies were able to consult the file, which also contained the original proposal for non-suit, and to present their observations within the legal deadlines; that therefore the principle of adversarial proceedings, contrary to the allegations presented by the interested parties, was fully respected;  </w:t>
        <w:br/>
        <w:t xml:space="preserve">On the practices:  </w:t>
        <w:br/>
        <w:t>Considering that the companies argue that the notified grievance is based on a presumption of collusion deduced solely from the parallelism of the offers and not on a set of serious, precise, and consistent indicators; that they assert that the proportionality of their proposals</w:t>
      </w:r>
    </w:p>
    <w:p>
      <w:r>
        <w:rPr>
          <w:b/>
        </w:rPr>
        <w:t>[Pages 7–8]</w:t>
      </w:r>
    </w:p>
    <w:p>
      <w:r>
        <w:t>on;</w:t>
        <w:br/>
        <w:t>On practices:</w:t>
        <w:br/>
        <w:t>Considering that the companies assert that the notified grievance is based on a presumption of collusion deduced solely from the parallelism of the bids and not on a set of serious, precise, and consistent indicators; that they argue that the proportionality of their proposals is explained by the numerous common information they had as well as by a technical know-how common to the profession that tends to standardize technical estimates; that they emphasize that the additional instructions carried out did not bring any new element likely to challenge the initial proposal of non-suit established by the rapporteur;</w:t>
        <w:br/>
        <w:t>Considering that the investigation highlighted that the proposals of the companies Esys, Geteba, and Ines are strictly proportional, for each of the items P 1, P 2, and P 3, to those of the company Thermical; that, however, the proposals of the company Thermical concerning item P 1 of the general hospital only imperfectly coincide with the allocation key based on the volumes chosen by this company and that the other companies declared they had retained independently, insofar as the errors made on buildings E, M, and P were compensated on building W; that the investigations carried out also showed that the company Thermical, due to its in-depth knowledge of the market, made specific choices regarding the methods and data used for calculating the various items and proposed improvements to the installations; that the originality of Thermical's approach and the reproduction by three of the bidding companies of the calculation errors made by this company, combined with the conditions for preparing the bids which, according to the companies' own statements, were established hastily and, in the case of the companies Ines and Geteba, without visiting the sites, constitute sufficiently serious, precise, and consistent indicators of the existence of an exchange of information between these four companies prior to the submission of the bids; that the fact that the proposals of the companies Esys, Geteba, and Ines are modeled on those of Thermical shows that this company played a predominant role in organizing the exchange of information by communicating its offer to the other companies;</w:t>
        <w:br/>
        <w:t>Considering that, with the exception of Thermical, the companies limited themselves to making general observations, declared that they had observed calculation methods that contradict the submitted offers, and produced, for two of them, the companies Esys and Geteba, incomplete studies presenting anomalies highlighted in Part I of this decision; that, while the companies had common information to establish their proposals, it results from the investigation that the C.C.T.P. contained errors and omissions and did not mention all the useful information for the companies; that they had to, sometimes based on information provided by the Sodeti firm, sometimes based on their own experience, make estimates that were likely to vary from one company to another; that furthermore, it emerges from the hearings of the professionals concerned that the different evaluation methods in use in the profession rarely lead to identical results and that the equipment lifespan tables, which leave companies a certain latitude, are generally refined by them based on their own experience; that the relativity of the calculation methods is further supported by the comparison of the offers from the companies Esys and Thermical included in Appendix 64, which shows that by using the same method and common sources of information, the two companies arrived at divergent assessments; that, consequently, the circumstance that the companies had common information, while it may justify the close nature of the offers, is insufficient to explain the parallelism to the thousandth presented by them;</w:t>
        <w:br/>
        <w:t>Considering that the investigation does not reveal that the company Montenay reproduced the calculation errors made by the company Thermical in the allocation of the price of item P 1 of the general hospital and that its offer contains, on this point, specific proposals compared to those of the other companies; that, under these conditions, it is not sufficiently established that this company participated in the information exchange practices retained;</w:t>
        <w:br/>
        <w:t>On the qualification of the facts and the sanctions:</w:t>
        <w:br/>
        <w:t>Considering that it follows from all of the above that the practices observed fall under the provisions of Article 50 of the ordinance of June 30, 1945, without being able to benefit from those of Article 51; that they are also covered by the provisions of Article 7 of the ordinance of December 1, 1986; that it is therefore necessary, by application of Article 13 of the 1986 ordinance, to calculate the financial sanctions under the conditions and limits of Article 53 of ordinance No. 45-1483 of June 30, 1945; that the first interruptive act of prescription being dated February 25, 1987, the ceiling of the sanctions applicable to the companies must be determined based on the turnover excluding taxes of the heating sector, achieved in France during the 1986 fiscal year; that it is appropriate to take into account for each of the companies its contributory capacities, the importance of the sanctioned behaviors, and the role played by each of them in these behaviors as well as the harm caused to the rules of competition; that in this regard, the company Thermical, having been the origin of an exchange of information, in which the companies Esys, Geteba, and Ines participated, must be considered as having had a particular responsibility in the practices retained.</w:t>
        <w:br/>
        <w:t>Decides:</w:t>
        <w:br/>
        <w:t>Single Article. - The following financial sanctions are imposed:</w:t>
        <w:br/>
        <w:t>1,300,000 F on the company Esys;</w:t>
        <w:br/>
        <w:t>500,000 F on the company Thermical;</w:t>
        <w:br/>
        <w:t>100,000 F on the company Ines;</w:t>
        <w:br/>
        <w:t>100,000 F on the company Geteba.</w:t>
        <w:br/>
        <w:t>Adopted on June 16, 1992, by Mr. Pineau, Vice-President, Messrs. Blaise, Cortesse, Sargos, and Urbain, members, on the written report of Mrs. Penichon presented by Mrs. Santerelli, session rapporteur.</w:t>
        <w:br/>
        <w:t>The session rapporteur, The Vice-President, presiding over the session,</w:t>
        <w:br/>
        <w:t>F. Jenny J. Pineau</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