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https://www.autoritedelaconcurrence.fr/fr/decision/relative-des-pratiques-relevees-lors-de-la-passation-de-marches-publics-relatifs-des</w:t>
      </w:r>
    </w:p>
    <w:p>
      <w:r>
        <w:t>Pages translated : 2</w:t>
      </w:r>
    </w:p>
    <w:p/>
    <w:p>
      <w:r>
        <w:rPr>
          <w:b/>
        </w:rPr>
        <w:t>[Pages 1–2]</w:t>
      </w:r>
    </w:p>
    <w:p>
      <w:r>
        <w:t xml:space="preserve">FRENCH REPUBLIC  </w:t>
        <w:br/>
        <w:t xml:space="preserve">Decision No. 93-D-08 of April 28, 1993  </w:t>
        <w:br/>
        <w:t xml:space="preserve">concerning practices observed during the awarding of public contracts  </w:t>
        <w:br/>
        <w:t>related to building works in the department of Var</w:t>
      </w:r>
    </w:p>
    <w:p>
      <w:r>
        <w:t>The Competition Council (standing committee),</w:t>
      </w:r>
    </w:p>
    <w:p>
      <w:r>
        <w:t>Having regard to the letter registered on December 29, 1988, under number F 210, by which the Minister of State, Minister of Economy, Finance, and Budget, referred to the Competition Council practices implemented during the awarding of four public contracts in the building sector, in the department of Var;</w:t>
      </w:r>
    </w:p>
    <w:p>
      <w:r>
        <w:t>Having regard to Ordinance No. 86-1243 of December 1, 1986, concerning the freedom of prices and competition, as amended, together with Decree No. 86-1309 of December 29, 1986, as amended, adopted for its application;</w:t>
      </w:r>
    </w:p>
    <w:p>
      <w:r>
        <w:t>Having regard to the judgment of the Court of Cassation of June 30, 1992, overturning and annulling the order of December 8, 1987, of the president of the court of first instance of Draguignan;</w:t>
      </w:r>
    </w:p>
    <w:p>
      <w:r>
        <w:t>Having regard to the observations presented by the Government Commissioner;</w:t>
      </w:r>
    </w:p>
    <w:p>
      <w:r>
        <w:t>Having regard to the other documents in the file;</w:t>
      </w:r>
    </w:p>
    <w:p>
      <w:r>
        <w:t>The rapporteur, the general rapporteur, and the Government Commissioner heard;</w:t>
      </w:r>
    </w:p>
    <w:p>
      <w:r>
        <w:t>Considering that, by the aforementioned judgment, on the appeal filed by Mr. Biancone and the company O.C.E., the Court of Cassation, commercial, financial, and economic chamber, overturned and annulled the order made on December 8, 1987, by the president of the court of first instance of Draguignan, which had authorized the agents of the General Directorate of Competition, Consumer Affairs, and Fraud Control, under Article 48 of the ordinance of December 1, 1986, to carry out visits and seizures in the premises of the companies Cazali, establishments Bernardi Père et Fils, Forti Constructions, O.C.E., and S.B.M.;</w:t>
      </w:r>
    </w:p>
    <w:p>
      <w:r>
        <w:t>Considering, therefore, that the irregularly seized documents in the premises of the companies Cazali, establishments Bernardi Père et Fils, Forti Constructions, O.C.E., and S.B.M. must be separated; that the minutes of hearings referring, directly or indirectly, to the content of the irregularly seized documents must also be excluded; that the passages of the administrative report established from the information drawn from all these elements of the file can no longer be used;</w:t>
      </w:r>
    </w:p>
    <w:p>
      <w:r>
        <w:t>Considering that the only documents remaining in the file do not contain elements allowing the proof of anti-competitive practices to be established, it is appropriate to apply the provisions of Article 20 of the ordinance of December 1, 1986;</w:t>
      </w:r>
    </w:p>
    <w:p>
      <w:r>
        <w:t xml:space="preserve">Decides:  </w:t>
        <w:br/>
        <w:t>Single Article. – There is no need to continue the proceedings.</w:t>
      </w:r>
    </w:p>
    <w:p>
      <w:r>
        <w:t>Adopted on the oral report of Mr. Jean-René Bourhis, by Messrs. Barbeau, president, Jenny, vice-president, and Cortesse, member, designated in replacement of Mr. Béteille.</w:t>
      </w:r>
    </w:p>
    <w:p>
      <w:r>
        <w:t xml:space="preserve">The general rapporteur, The president,  </w:t>
        <w:br/>
        <w:t xml:space="preserve">Marc Sadaoui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