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https://www.autoritedelaconcurrence.fr/fr/decision/relative-des-pratiques-relevees-lors-de-marches-de-voirie-dans-le-departement-du-bas-rhin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94-D-26 of April 12, 1994  </w:t>
        <w:br/>
        <w:t xml:space="preserve">concerning practices observed during roadworks contracts  </w:t>
        <w:br/>
        <w:t xml:space="preserve">in the department of Bas-Rhin  </w:t>
        <w:br/>
        <w:t xml:space="preserve">The Competition Council (standing committee),  </w:t>
        <w:br/>
        <w:t xml:space="preserve">Having regard to the letter registered on October 1, 1993, under number F 624, by which the Minister of  </w:t>
        <w:br/>
        <w:t xml:space="preserve">Economy referred to the Competition Council practices observed during the awarding of  </w:t>
        <w:br/>
        <w:t xml:space="preserve">roadworks contracts in the department of Bas-Rhin;  </w:t>
        <w:br/>
        <w:t xml:space="preserve">Having regard to Ordinance No. 86-1243 of December 1, 1986, as amended, relating to the freedom of prices and  </w:t>
        <w:br/>
        <w:t xml:space="preserve">competition and Decree No. 86-1309 of December 29, 1986, as amended, adopted for its  </w:t>
        <w:br/>
        <w:t xml:space="preserve">application;  </w:t>
        <w:br/>
        <w:t xml:space="preserve">Having regard to Judgment No. 1601 D of the Court of Cassation (commercial, financial and  </w:t>
        <w:br/>
        <w:t xml:space="preserve">economic chamber) dated October 26, 1993, quashing and annulling the order of the president of the  </w:t>
        <w:br/>
        <w:t xml:space="preserve">Strasbourg High Court dated March 26, 1992;  </w:t>
        <w:br/>
        <w:t xml:space="preserve">Having regard to the observations presented by the Government Commissioner;  </w:t>
        <w:br/>
        <w:t xml:space="preserve">Having regard to the other documents in the file;  </w:t>
        <w:br/>
        <w:t xml:space="preserve">The rapporteur, the general rapporteur and the Government Commissioner heard;  </w:t>
        <w:br/>
        <w:t xml:space="preserve">Considering that by the aforementioned judgment, on the appeal filed by the companies Trabet, Cochery  </w:t>
        <w:br/>
        <w:t xml:space="preserve">Bourdin and Chaussé and Société industrielle et routière d'Alsace (S.I.R.A.), the Court of Cassation  </w:t>
        <w:br/>
        <w:t xml:space="preserve">(commercial, financial and economic chamber) quashed and annulled the order issued on March 26,  </w:t>
        <w:br/>
        <w:t xml:space="preserve">1992, by the president of the Strasbourg High Court which had authorized the agents of the General  </w:t>
        <w:br/>
        <w:t xml:space="preserve">Directorate for Competition, Consumer Affairs and Fraud Prevention, under Article 48 of the  </w:t>
        <w:br/>
        <w:t xml:space="preserve">Ordinance of December 1, 1986, to carry out visits and seizures in the premises of the companies  </w:t>
        <w:br/>
        <w:t xml:space="preserve">Trabet, Cochery Bourdin and Chaussé, Société industrielle et routière d'Alsace, Kolher, Burger,  </w:t>
        <w:br/>
        <w:t xml:space="preserve">E.T.M., Sotravest, Roehrig, Strasal, Schubel and sons, Colas Est and Société alsacienne d'entreprise  </w:t>
        <w:br/>
        <w:t xml:space="preserve">et de canalisation;  </w:t>
        <w:br/>
        <w:t xml:space="preserve">Considering, therefore, that the irregularly seized documents in the premises of the companies  </w:t>
        <w:br/>
        <w:t xml:space="preserve">designated by the order must be separated; that the minutes of hearings referring, directly or indirectly,  </w:t>
        <w:br/>
        <w:t xml:space="preserve">to the content of the irregularly seized documents must also be excluded; that the passages of the  </w:t>
        <w:br/>
        <w:t xml:space="preserve">administrative report established from the information drawn from all these elements of the file can no  </w:t>
        <w:br/>
        <w:t>longer be used;</w:t>
      </w:r>
    </w:p>
    <w:p>
      <w:r>
        <w:t xml:space="preserve">Considering that the only documents remaining in the file do not contain elements allowing the  </w:t>
        <w:br/>
        <w:t xml:space="preserve">establishment of proof of anti-competitive practices, it is appropriate to apply the provisions of  </w:t>
        <w:br/>
        <w:t xml:space="preserve">Article 20 of the Ordinance of December 1, 1986,  </w:t>
        <w:br/>
        <w:t xml:space="preserve">Decides:  </w:t>
        <w:br/>
        <w:t xml:space="preserve">Single Article. - There is no need to continue the proceedings.  </w:t>
        <w:br/>
        <w:t xml:space="preserve">Deliberated on the oral report of Ms. Marion Cès, by Mr. Barbeau, president, Mr. Cortesse,  </w:t>
        <w:br/>
        <w:t xml:space="preserve">vice-president, and Mr. Rocca, member, designated in place of Mr. Jenny, prevented.  </w:t>
        <w:br/>
        <w:t xml:space="preserve">The general rapporteur The president  </w:t>
        <w:br/>
        <w:t xml:space="preserve">Marc Sadaoui Charles Barbeau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