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https://www.autoritedelaconcurrence.fr/fr/decision/relative-des-pratiques-relevees-lors-dun-appel-doffres-lance-par-le-ministere-de</w:t>
      </w:r>
    </w:p>
    <w:p>
      <w:r>
        <w:t>Pages translated : 2</w:t>
      </w:r>
    </w:p>
    <w:p/>
    <w:p>
      <w:r>
        <w:rPr>
          <w:b/>
        </w:rPr>
        <w:t>[Pages 1–2]</w:t>
      </w:r>
    </w:p>
    <w:p>
      <w:r>
        <w:t>Decision No. 02-D-11 of February 20, 2002</w:t>
        <w:br/>
        <w:t>concerning practices observed during a call for tenders launched by the Ministry of Industry for the</w:t>
        <w:br/>
        <w:t>computer, telephone, and electrical wiring of its building located at 20 Avenue de Ségur</w:t>
        <w:br/>
        <w:t>The Competition Council (standing committee),</w:t>
        <w:br/>
        <w:t>Having regard to the letter of December 24, 1996, registered under number F 933, by which the Minister Delegate for Finance and Foreign Trade referred to the Competition Council practices observed during a call for tenders launched by the Ministry of Industry for the computer, telephone, and electrical wiring of its building located at 20 Avenue de Ségur;</w:t>
        <w:br/>
        <w:t>Having regard to Book IV of the Commercial Code relating to the freedom of prices and competition and Decree No. 86-1309 of December 29, 1986, as amended, setting the conditions for the application of Ordinance No. 86-1243 of December 1, 1986;</w:t>
        <w:br/>
        <w:t>Having regard to the observations presented by the Government Commissioner;</w:t>
        <w:br/>
        <w:t>Having regard to the other documents in the file;</w:t>
        <w:br/>
        <w:t>The reporting member, the deputy general reporter, and the Government Commissioner heard during the session of December 18, 2001;</w:t>
        <w:br/>
        <w:t>Considering that according to the terms of the ministerial referral letter, the companies Cégélec and Société Nouvelle Verger Delporte (SNVD) conspired during a call for tenders launched by the Ministry of Industry on January 7, 1994, for the computer, telephone, and electrical wiring of its building located at 20 Avenue de Ségur, in order to allow one of them, the company Cégélec, to be awarded the lot concerning the redesign of the horizontal electrical distribution and the floor panels of this building;</w:t>
        <w:br/>
        <w:t>Considering that Article L. 462-7 of the Commercial Code states: "The Council cannot be seized of facts dating back more than three years if no act has been made to seek, establish, or sanction them";</w:t>
        <w:br/>
        <w:t>Considering that more than three years have elapsed since December 30, 1996, the date of registration of the referral by the Minister Delegate for Finance and Foreign Trade; it is established that, during this period, the practices denounced have not been the subject of any act attempting to seek, establish, or sanction them;</w:t>
      </w:r>
    </w:p>
    <w:p>
      <w:r>
        <w:t>Considering that the Government Commissioner argues that he found himself unable to act to carry out an interruptive act of prescription and that the period provided for in the aforementioned Article L. 462-7 has been suspended with respect to him; that the reasoning of the ruling of the Court of Cassation, Thomson Multimédia marketing France, dated July 17, 2001, overturning a ruling of the Paris Court of Appeal, SA Concurrence, dated March 9, 1999, which had admitted the principle of the suspension of the prescription with respect to the referring company, placed in the impossibility of acting in the ongoing procedure before the Council, does not apply to the case of a referral from the minister because he, unlike the companies or other legal entities making the referral, lacks any alternative means to protect the public economic order affected by anti-competitive practices;</w:t>
        <w:br/>
        <w:t>But considering that the ruling of March 9, 1999, has been subject to a double cassation for violation of the law, the first, pronounced under the reference of Article L. 462-7 of the Commercial Code, on the grounds "(...) that by ruling thus, by adding to the aforementioned text a case of suspension of the prescription that it does not provide for, the Court of Appeal violated it," the second, pronounced under the same reference, on the grounds "(...) that by ruling thus, while the Competition Council, responsible for the protection of the public economic order, is not competent to repair the damage possibly suffered by the parties who refer it and who allege to be victims of anti-competitive practices and can refer civil and criminal jurisdictions for an action for compensation, annulment, or cessation of the contested practices within the prescription periods applicable to these actions (...) the Court of Appeal violated the aforementioned text (...)";</w:t>
        <w:br/>
        <w:t>Considering that each of these two grounds for cassation independently justifies the cassation pronounced, regardless of the other; that, therefore, the first ground, which relies on the wording of Article L. 462-7 of the Commercial Code to exclude the suspension of the prescription, a provision applicable regardless of the author of the referral to the Council, leads to the conclusion that the prescription, which is not suspended when the referral comes from a company, is not suspended either when the Council is seized by the minister;</w:t>
        <w:br/>
        <w:t>Considering that in this case, more than three years have elapsed since December 30, 1996, the date of registration of the referral by the Minister Delegate for Finance and Foreign Trade, without the course of the prescription having been interrupted by an act attempting to seek, establish, or sanction the denounced facts; that the prescription being thus acquired as of December 30, 1999, it is appropriate to state that there is no need to continue the procedure;</w:t>
        <w:br/>
        <w:t>DECIDES</w:t>
        <w:br/>
        <w:t>Sole Article - There is no need to continue the procedure.</w:t>
        <w:br/>
        <w:t>Deliberated, on the report of Ms. Reffet, by Ms. Hagelsteen, president, Mr. Jenny, vice-president, and Mr. Robin, member, in replacement of Ms. Pasturel, vice-president prevented.</w:t>
        <w:br/>
        <w:t>The session secretary, The president,</w:t>
        <w:br/>
        <w:t>Thierry Poncelet Marie-Dominique Hagelsteen</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