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https://www.autoritedelaconcurrence.fr/fr/decision/relative-des-pratiques-relevees-sur-des-marches-de-travaux-de-voirie-dans-le-departement</w:t>
      </w:r>
    </w:p>
    <w:p>
      <w:r>
        <w:t>Pages translated : 2</w:t>
      </w:r>
    </w:p>
    <w:p/>
    <w:p>
      <w:r>
        <w:rPr>
          <w:b/>
        </w:rPr>
        <w:t>[Pages 1–2]</w:t>
      </w:r>
    </w:p>
    <w:p>
      <w:r>
        <w:t>Decision No. 02-D-22 of March 14, 2002</w:t>
        <w:br/>
        <w:t>concerning practices observed in roadworks markets</w:t>
        <w:br/>
        <w:t>in the department of Nord</w:t>
        <w:br/>
        <w:t>The Competition Council (standing committee),</w:t>
        <w:br/>
        <w:t>Having regard to the letter dated December 18, 1997, registered under number F 1002, by which the Minister of</w:t>
        <w:br/>
        <w:t>Economy, Finance, and Industry referred to the Competition Council practices observed in roadworks markets in the department of Nord;</w:t>
        <w:br/>
        <w:t>Having regard to Book IV of the Commercial Code relating to the freedom of prices and competition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December 19, 2001;</w:t>
        <w:br/>
        <w:t>Considering that the practices denounced by the Minister consisted, for the company Colas Nord Picardie and its local subsidiary STAV, in refraining from informing the contracting authorities, on the one hand, of the existing links between them, while they responded separately to certain calls for tenders, and on the other hand, of the subcontracting agreements concluded between them on the occasion of certain contracts;</w:t>
        <w:br/>
        <w:t>Considering that Article L. 462-7 of the Commercial Code provides that "the council cannot be seized of facts dating back more than three years if no act has been made to seek, establish or sanction them";</w:t>
        <w:br/>
        <w:t>Considering that it results from the documents in the file that no act aimed at seeking, establishing or sanctioning the practices referred to in Articles L. 420-1 and L. 420-2 of the Commercial Code was initiated after the referral to the Council within the three-year period provided for in the aforementioned Article L. 462-7;</w:t>
        <w:br/>
        <w:t>Considering that the Government Commissioner argues that he found himself unable to act to carry out an interruptive act of prescription and that the period provided for in the aforementioned article has been suspended with respect to him; that the reasoning of the ruling of the Court of Cassation dated July 17, 2001, quashing a ruling of the Paris Court of Appeal dated March 9, 1999, which had admitted the principle of the suspension of the prescription with respect to the seizing company, placed in the impossibility of acting in the ongoing procedure before the Council, does not apply to the case of a referral from the Minister because he, unlike the seizing companies or other legal entities, lacks any alternative means to protect the public economic order affected by anti-competitive practices;</w:t>
        <w:br/>
        <w:t>But considering that, seized of a ruling of the Paris Court of Appeal, rendered on October 12, 1999, which held that the prescription period was suspended with respect to the Minister inasmuch as, as the seizing party under Article 11 of the ordinance, the Director General of Competition, Consumer Affairs, and Fraud Prevention was placed in the impossibility of acting to execute an interruptive act in the ongoing procedure before the Competition Council, the Court of Cassation, by a ruling dated February 26, 2002, considered "that by ruling thus, by adding to the cited text a case of suspension of the prescription that it does not provide for, the Court of Appeal violated it" and pronounced the quashing of this ruling;</w:t>
        <w:br/>
        <w:t>Considering that in this case more than three years have elapsed since December 18, 1997, the date of the referral of the council by the Minister, without the course of the prescription having been interrupted by an act aimed at seeking, establishing or sanctioning the denounced facts; that the prescription being thus acquired on December 18, 2000, it is appropriate to state that there is no need to continue the procedure;</w:t>
        <w:br/>
        <w:t>DECIDES</w:t>
        <w:br/>
        <w:t>Single Article - There is no need to continue the procedure.</w:t>
        <w:br/>
        <w:t>Deliberated, on the report of Mr. Komiha, by Ms. Hagelsteen, President, Ms. Pasturel, Vice-President, Messrs. Jenny and Nasse, Vice-Presidents.</w:t>
        <w:br/>
        <w:t>The session secretary, The President,</w:t>
        <w:br/>
        <w:t>Anne Frédéric-Moreau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