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https://www.autoritedelaconcurrence.fr/fr/decision/relative-des-pratiques-relevees-sur-le-marche-de-la-fabrication-des-panneaux-et-enseignes</w:t>
      </w:r>
    </w:p>
    <w:p>
      <w:r>
        <w:t>Pages translated : 4</w:t>
      </w:r>
    </w:p>
    <w:p/>
    <w:p>
      <w:r>
        <w:rPr>
          <w:b/>
        </w:rPr>
        <w:t>[Pages 1–3]</w:t>
      </w:r>
    </w:p>
    <w:p>
      <w:r>
        <w:t xml:space="preserve">FRENCH REPUBLIC  </w:t>
        <w:br/>
        <w:t xml:space="preserve">Decision No. 91-D-30 of June 11, 1991  </w:t>
        <w:br/>
        <w:t xml:space="preserve">regarding practices noted in the market for the manufacture  </w:t>
        <w:br/>
        <w:t xml:space="preserve">of advertising panels and signs  </w:t>
        <w:br/>
        <w:t xml:space="preserve">The Competition Council,  </w:t>
        <w:br/>
        <w:t xml:space="preserve">Having regard to the letter registered on September 3, 1990, by which the Minister of State, Minister of Economy, Finance and Budget, referred to the Competition Council a file relating to practices noted in the market for the manufacture of advertising panels and signs;  </w:t>
        <w:br/>
        <w:t xml:space="preserve">Having regard to Ordinances No. 45-1483 and 45-1484 of June 30, 1945, as amended, relating respectively to prices and to the observation, prosecution, and repression of violations of economic legislation;  </w:t>
        <w:br/>
        <w:t xml:space="preserve">Having regard to Ordinance No. 86-1483 of December 1, 1986, relating to the freedom of prices and competition, as amended, together with Decree No. 86-1309 of December 29, 1986, as amended, taken for application;  </w:t>
        <w:br/>
        <w:t xml:space="preserve">Having regard to the procedure initiated on February 1, 1991, pursuant to the provisions of Article 22 of Ordinance No. 86-1243 of December 1, 1986;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representative of the National Union of Letter Painters (French Federation of Sign and Graphic Communication Trades) heard;  </w:t>
        <w:br/>
        <w:t xml:space="preserve">Adopts the decision based on the findings (I) and the reasons (II) set forth below.  </w:t>
        <w:br/>
        <w:t xml:space="preserve">I. - FINDINGS  </w:t>
        <w:br/>
        <w:t xml:space="preserve">A. - The sector of activity  </w:t>
        <w:br/>
        <w:t xml:space="preserve">The activity of traditional letter painting requires significant know-how, acquired after a long apprenticeship; this phenomenon explains the predominantly artisanal structure of the companies. On average, they employ one to three people, and their turnover is around one million francs. Since 1983, the activity has undergone a modification of the technical conditions of production. Professionals have transitioned from manual work to production and design computing. Artisans who have maintained a purely traditional activity are the exception. The majority of professionals use both techniques. Some larger companies have specialized in adhesive lettering.  </w:t>
        <w:br/>
        <w:t xml:space="preserve">Prior to 1989, the profession was represented by the National Union of Letter Painters (S.N.A.P.L.), now called the French Federation of Sign and Graphic Communication Trades. At the time of the facts submitted for the Competition Council's assessment, the S.N.A.P.L. comprised 580 members representing about one-third of the companies engaged in this activity. The national union is organized into 18 regional unions.  </w:t>
        <w:br/>
        <w:t xml:space="preserve">B. - The practices noted  </w:t>
        <w:br/>
        <w:t xml:space="preserve">The administrative investigation was conducted at the union's headquarters, in the premises of various companies, and at the headquarters of the regional unions in Marseille and Alès. It resulted in the drafting of hearing minutes; these minutes, which constitute the interruptive act of the limitation period, were drawn up as early as December 6, 1988.  </w:t>
        <w:br/>
        <w:t xml:space="preserve">The investigation revealed that the S.N.A.P.L. has, at least during the non-prescribed period, disseminated three series of documents relating to the prices of services that could be offered by its members.  </w:t>
        <w:br/>
        <w:t xml:space="preserve">Firstly, the union published national price scales. Thus, it follows from the minutes of the declaration by the president of the union that "every four years, the price commission of the S.N.A.P.L. took advantage of the release of the series of prices from architects, which included the basic prices of the trade, to produce numerical documents intended for the artisan members of the S.N.A.P.L. at each national council."  </w:t>
        <w:br/>
        <w:t xml:space="preserve">Secondly, until July 1987, the S.N.A.P.L. regularly updated these scales; this was done for each regional union based on the scales of coefficients published each month by the central series of architectural prices. Every quarter, the S.N.A.P.L. sent its members a table of coefficients to apply in the form of an insert in the magazine Le Peintre en lettres.  </w:t>
        <w:br/>
        <w:t xml:space="preserve">Finally, starting in July 1987, the S.N.A.P.L. replaced the system of updated national price scales with a new price scale titled "Unified Technical Document Confidential Memo": this document was included in issue 57 of the magazine Le Peintre en lettres of July 1987. Its development resulted from union meetings, particularly within a "price commission." The document contains six rates for "letter painters," "banners," "backgrounds," "screen printing," "adhesives," and "light boxes," which do not result from any particular study relating to the production costs of artisans. Presented as a tool to allow professionals to establish their production costs and selling prices, the document actually proposes, in a comprehensive and detailed manner, levels of prices to be practiced and includes multiple indications relating to price increases to adopt and discounts to grant. It is specified that "all work performed outdoors will incur a 20% increase in addition to travel prices," "for complete inking of support: add 10% to the printing price," and that the discount "granted exclusively to advertising agencies" cannot exceed 20% of the rate. It further results from the investigation and statements from certain members that union rates were 15 to 20% higher than the rates charged by non-members.  </w:t>
        <w:br/>
        <w:t xml:space="preserve">II. - BASED ON THE ABOVE FINDINGS THE COUNCIL  </w:t>
        <w:br/>
        <w:t xml:space="preserve">Considering that the facts described above are both prior and subsequent to the entry into force of the ordinance of December 1, 1986; that they must therefore be assessed with regard to Article 50 of Ordinance No. 45-1483 of June 30, 1945, and Article 7 of the ordinance of December 1, 1986;  </w:t>
        <w:br/>
        <w:t xml:space="preserve">Considering that the hearing minutes of December 5, 1988, interrupted the limitation period; that the facts prior to December 5, 1985, cannot therefore be qualified; that they can, however, be recounted solely for the purpose of allowing the understanding of the grievances retained and relating to facts still subject to sanction;  </w:t>
        <w:br/>
        <w:t xml:space="preserve">Considering that the fact that the S.N.A.P.L. conducted a series of actions consisting, following meetings, in establishing and disseminating national price scales, updating tables, and, starting in July 1987, different rates, constitutes a concerted practice aimed at restricting the play of competition;  </w:t>
        <w:br/>
        <w:t xml:space="preserve">Considering that, while it is normal for a professional union to provide its members with management assistance, this should not include any element of direct or indirect influence on the free play of competition within the profession;  </w:t>
        <w:br/>
        <w:t xml:space="preserve">Considering that in this particular case, the fact that the S.N.A.P.L. disseminated national price scales, updating tables, and then rates that appeared to be imposed on companies, even though these elements could vary from one company to another, went beyond mere management assistance and constitutes a concerted practice that had the object and could have the effect of restricting the play of competition by favoring the artificial increase of prices;  </w:t>
        <w:br/>
        <w:t xml:space="preserve">Considering that the S.N.A.P.L. cannot usefully argue, in an attempt to justify the practices mentioned above of which it was aware of the illegality, that by publishing these data it was merely responding to a request from its members;  </w:t>
        <w:br/>
        <w:t xml:space="preserve">Considering that these practices are thus covered by the provisions of Article 50 of Ordinance No. 45-1483 of June 30, 1945, and Article 7 of the ordinance of December 1, 1986;  </w:t>
        <w:br/>
        <w:t xml:space="preserve">Considering that it is neither alleged nor established that the practices noted could benefit from the provisions of Article 51 of Ordinance No. 45-1483 of June 30, 1945, and Article 10 of the ordinance of December 1, 1986;  </w:t>
        <w:br/>
        <w:t>Considering finally that the fact that the union has not established or disseminated price scales since the opening of the investigation conducted by the Directorate General for Competition, Consumer Affairs, and Fraud Prevention does not eliminate the offense committed;</w:t>
      </w:r>
    </w:p>
    <w:p>
      <w:r>
        <w:rPr>
          <w:b/>
        </w:rPr>
        <w:t>[Pages 4–4]</w:t>
      </w:r>
    </w:p>
    <w:p>
      <w:r>
        <w:t xml:space="preserve">Considering that it is appropriate, by application of Article 53 of Ordinance No. 45-1483 of June 30, 1945 mentioned above and Article 13 of the ordinance of 1986 also mentioned above, to impose a financial penalty against the French Federation of Sign and Graphic Communication Trades, taking into account both the specific characteristics of the profession, the impact on the market of the practices observed, the knowledge that the professional organization had of their irregularity, and the financial capacity of said federation,  </w:t>
        <w:br/>
        <w:t xml:space="preserve">DECIDES:  </w:t>
        <w:br/>
        <w:t xml:space="preserve">Art. 1. - It is acknowledged the commitment of the French Federation of Sign and Graphic Communication Trades to refrain from establishing and disseminating price schedules or any other equivalent document.  </w:t>
        <w:br/>
        <w:t xml:space="preserve">Art. 2. - A financial penalty of 300,000 F is imposed on the French Federation of Sign and Graphic Communication Trades.  </w:t>
        <w:br/>
        <w:t xml:space="preserve">Art. 3. - Within a maximum period of three months following its notification, the full text of this decision will be published at the expense of the French Federation of Sign and Graphic Communication Trades in the magazines Technipub Magazine and Médias. This publication will be preceded by the mention: 'Decision of the Competition Council dated June 11, 1991, regarding practices observed in the market for the manufacture of advertising panels and signs.'  </w:t>
        <w:br/>
        <w:t xml:space="preserve">Deliberated in permanent commission, on the oral report of Ms. Pineau, in its session of June 11, 1991, where were present: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