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https://www.autoritedelaconcurrence.fr/fr/decision/relative-des-pratiques-relevees-sur-le-marche-du-soufre-usage-agricole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94-D-35 of June 7, 1994  </w:t>
        <w:br/>
        <w:t xml:space="preserve">concerning practices observed in the agricultural sulfur market.  </w:t>
        <w:br/>
        <w:t xml:space="preserve">The Competition Council (standing committee),  </w:t>
        <w:br/>
        <w:t xml:space="preserve">Having regard to the letter registered on June 12, 1992, under number F 513, by which the Minister of Economy and Finance referred to the Competition Council practices observed in the market for the production of sulfur for agricultural use;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having been heard;  </w:t>
        <w:br/>
        <w:t xml:space="preserve">Considering that it is appropriate to suspend the proceedings in order to carry out additional investigation,  </w:t>
        <w:br/>
        <w:t xml:space="preserve">Decides:  </w:t>
        <w:br/>
        <w:t xml:space="preserve">Single Article. - The proceedings on referral F 513 are suspended.  </w:t>
        <w:br/>
        <w:t xml:space="preserve">Deliberated on the report of Ms. Simone de Mallmann, by Mr. Barbeau, President,  </w:t>
        <w:br/>
        <w:t xml:space="preserve">Messrs. Cortesse and Jenny, Vice-Presidents.  </w:t>
        <w:br/>
        <w:t xml:space="preserve">The General Rapporteur The President  </w:t>
        <w:br/>
        <w:t xml:space="preserve">Marc Sadaoui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