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https://www.autoritedelaconcurrence.fr/fr/decision/relative-des-pratiques-relevees-sur-les-marches-de-la-collecte-du-transport-et-du</w:t>
      </w:r>
    </w:p>
    <w:p>
      <w:r>
        <w:t>Pages translated : 3</w:t>
      </w:r>
    </w:p>
    <w:p/>
    <w:p>
      <w:r>
        <w:rPr>
          <w:b/>
        </w:rPr>
        <w:t>[Pages 1–3]</w:t>
      </w:r>
    </w:p>
    <w:p>
      <w:r>
        <w:t xml:space="preserve">FRENCH REPUBLIC  </w:t>
        <w:br/>
        <w:t xml:space="preserve">Decision No. 06-D-38 of December 13, 2006  </w:t>
        <w:br/>
        <w:t xml:space="preserve">regarding practices observed in the markets for the collection,  </w:t>
        <w:br/>
        <w:t xml:space="preserve">transportation, and treatment of household waste in the  </w:t>
        <w:br/>
        <w:t xml:space="preserve">Rhône-Alpes and Auvergne regions  </w:t>
        <w:br/>
        <w:t xml:space="preserve">The Competition Council (permanent commission)  </w:t>
        <w:br/>
        <w:t xml:space="preserve">Considering the letter registered on September 15, 2000, under number F 1266 by which the Minister of Economy and Finance referred to the Competition Council practices observed in the markets for the collection, transportation, and treatment of household waste in the Rhône-Alpes and Auvergne regions,  </w:t>
        <w:br/>
        <w:t xml:space="preserve">Considering Book IV of the Commercial Code relating to the freedom of prices and competition and Decree 2002-689 of April 30, 2002, setting the conditions for its application;  </w:t>
        <w:br/>
        <w:t xml:space="preserve">Considering the other documents in the file;  </w:t>
        <w:br/>
        <w:t xml:space="preserve">Considering the observations presented by the Government Commissioner;  </w:t>
        <w:br/>
        <w:t xml:space="preserve">The rapporteur, the general rapporteur, and the Government Commissioner heard during the session of December 5, 2006,  </w:t>
        <w:br/>
        <w:t>Adopts the following decision:</w:t>
      </w:r>
    </w:p>
    <w:p>
      <w:r>
        <w:t xml:space="preserve">1. By letter registered on September 15, 2000, under number F 1266, the Minister of Economy and Finance referred to the Competition Council practices observed in the markets for the collection, transportation, and treatment of household waste in the Rhône-Alpes and Auvergne regions.  </w:t>
        <w:br/>
        <w:t xml:space="preserve">2. The investigation report provides a summary of findings related to nineteen public contracts for the collection, transportation, and treatment of household waste awarded by public authorities in the departments of Rhône, Loire, Isère, Haute-Loire, and Drôme, between 1996 and 1998. For nine contracts examined (the contracts of the communities of communes of Haut-Beaujolais, Haute-vallée d’Azergues, Vallons du Lyonnais, Condrieu, and Balbigny, the commune of Genas, the SIVOM of the canton of Pélussin, the SIVOM of Pont de Chéruy, the SISAV of Drôme), the report considers that consistent indicators of collusion between the subsidiaries of the Vivendi group and the SITA-SUEZ group have been observed and concludes that the lack of competition noted among the groups present in the region, which tends to preserve a status quo, could result from a tacit agreement. However, no search and seizure measures based on Article L. 450-4 of the Commercial Code were undertaken to gather evidence to support the observed indicators.  </w:t>
        <w:br/>
        <w:t xml:space="preserve">3. Regarding the market of the mixed economy company SOGELY, the referral notes that a bidding company indicated having contacted potential competitors to gather information before submitting bids. However, among the companies that allegedly provided this information, some denied these contacts, while others were not questioned.  </w:t>
        <w:br/>
        <w:t xml:space="preserve">4. Finally, the referral denounced the discriminatory pricing practices of the company SATROD, which allegedly abused its dominant position in "the market for the controlled landfill of household waste within a radius of approximately 100 km around the Class II landfill it operates in Roche La Molière," by granting both the company ONYX and other subsidiaries of SLE "preferential landfill rates," hindering competition in the related collection market.  </w:t>
        <w:br/>
        <w:t xml:space="preserve">5. In the context of this referral, the rapporteur in charge of the file executed two investigative acts. The first is a letter dated June 8, 2001, addressed to the director of ADEME, in order to obtain information on the waste treatment sector in France and particularly in the Rhône-Alpes region. He responded with a letter dated July 6, 2001. The second is a record of the hearing of Mr. X…, an engineer at CEMAGREF in Rennes, dated August 22, 2001, to obtain technical data on household waste collection from him. Beyond this date, no other investigative act has been carried out.  </w:t>
        <w:br/>
        <w:t xml:space="preserve">6. Thus, the last act aimed at the investigation, observation, or sanction of the practices denounced in referral F 1266 is constituted by the record of the hearing dated August 22, 2001.  </w:t>
        <w:br/>
        <w:t>7. Article L. 462-7 of the Commercial Code, in its version prior to the publication of the ordinance of November 4, 2004, states that "the Council cannot be seized of facts dating back more than three years if no act has been made to investigate, observe, or sanction them."</w:t>
      </w:r>
    </w:p>
    <w:p>
      <w:r>
        <w:t xml:space="preserve">8. It follows from the above that the limitation period for the case registered under number F 1266 was acquired on August 22, 2004, and that there is no need to continue the procedure.  </w:t>
        <w:br/>
        <w:t xml:space="preserve">DECISION  </w:t>
        <w:br/>
        <w:t xml:space="preserve">Sole Article: There is no need to continue the procedure.  </w:t>
        <w:br/>
        <w:t xml:space="preserve">Deliberated on the oral report of Mr. Blanc by Mr. Nasse, Vice-President presiding over the session, Ms. Aubert and Ms. Perrot, Vice-Presidents.  </w:t>
        <w:br/>
        <w:t xml:space="preserve">The Secretary of the Session, The Vice-President,  </w:t>
        <w:br/>
        <w:t xml:space="preserve">Catherine Duparcq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