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https://www.autoritedelaconcurrence.fr/fr/decision/relative-des-pratiques-relevees-sur-les-marches-delectrification-rurale-et-declairage</w:t>
      </w:r>
    </w:p>
    <w:p>
      <w:r>
        <w:t>Pages translated : 16</w:t>
      </w:r>
    </w:p>
    <w:p/>
    <w:p>
      <w:r>
        <w:rPr>
          <w:b/>
        </w:rPr>
        <w:t>[Pages 1–3]</w:t>
      </w:r>
    </w:p>
    <w:p>
      <w:r>
        <w:t>FRENCH REPUBLIC</w:t>
        <w:br/>
        <w:t>Decision No. 04-D-16 of May 3, 2004</w:t>
        <w:br/>
        <w:t>regarding practices identified in the markets for rural electrification</w:t>
        <w:br/>
        <w:t>and public lighting in the Morbihan department</w:t>
        <w:br/>
        <w:t>The Competition Council (section II),</w:t>
        <w:br/>
        <w:t>Having regard to the letter registered on February 26, 1997, under number F.943, by which the Minister Delegate for Finance and Foreign Trade referred to the Competition Council practices identified during the awarding of contracts for rural electrification and public lighting in the Morbihan department;</w:t>
        <w:br/>
        <w:t>Having regard to Book IV of the Commercial Code relating to price freedom and competition, Decree No. 86-1309 of December 29, 1986, as amended, setting the conditions for the application of Ordinance No. 86-1243 of December 1, 1986, and Decree No. 2002-689 of April 3, 2002, setting the conditions for the application of Book IV of the Commercial Code;</w:t>
        <w:br/>
        <w:t>Having regard to the observations presented by the companies l’Entreprise Industrielle, ETDE, Saunier Duval Electricité, Garczynski and Traploir, Seco, Sturno, Mainguy and Mahé;</w:t>
        <w:br/>
        <w:t>Having regard to the other documents in the file;</w:t>
        <w:br/>
        <w:t>The rapporteur, the deputy general rapporteur, the Government Commissioner, and the representatives of the companies, l’Entreprise Industrielle, ETDE, Saunier Duval Electricité, and Garczynski and Traploir, Seco, Sturno, Mainguy and Mahé, heard during the session of February 3, 2004;</w:t>
        <w:br/>
        <w:t>Adopts the following decision:</w:t>
        <w:br/>
        <w:t>I. - Findings</w:t>
        <w:br/>
        <w:t>A. - THE MARKETS AND THE COMPANIES</w:t>
        <w:br/>
        <w:t>1. CHARACTERISTICS OF THE MARKETS CONCERNED</w:t>
        <w:br/>
        <w:t>1. At the end of 1993, 32 contracts for rural electrification and public lighting were awarded in the Morbihan department by several local authorities, including 10 intermunicipal unions. These authorities ensure project management in their respective areas, with project execution entrusted for all works to the Departmental Directorate of Agriculture and Forestry (DDAF). The departmental electricity union, grouping all project owners, is responsible for ensuring the establishment of necessary funding and monitoring the consistency of the policies of the various unions in economic, financial, and environmental terms.</w:t>
        <w:br/>
        <w:t>2. The procedure followed is that of contracts with purchase orders as provided for in Article 273 of the Public Procurement Code, with local authorities setting a minimum or maximum amount of services that may be ordered during the period based on the needs to be met. The contracts are concluded for a duration of one year, renewable, up to a limit of five years.</w:t>
        <w:br/>
        <w:t>3. In terms of rural electrification, these services relate to construction, extension, reinforcement, or replacement works of existing networks included in the annual program, but also to works carried out at the request of individuals or municipalities. A large part of this work concerns overhead power lines, but the realization of underground works is increasing, as part of an active policy of burying lines, particularly in the tourist areas of the department.</w:t>
        <w:br/>
        <w:t>4. The calls for tenders were published in the official bulletin of public procurement announcements on December 14, 1993, with the deadline for receipt of offers set for February 11, 1994. Bidders were invited to submit their proposals in the form of a discount or a markup applied to the services described and evaluated in the unit price schedule prepared by the project owner.</w:t>
        <w:br/>
        <w:t>5. The total amount of work to be carried out was in a range from 62 MF excl. tax minimum to 128 MF excl. tax maximum per year. The amount of work actually carried out was 117.6 MF in 1994 and 114.6 MF in 1995.</w:t>
        <w:br/>
        <w:t>2. THE COMPANIES</w:t>
        <w:br/>
        <w:t>6. Several companies, which were already holders of one or more contracts under the calls for tenders issued in 1989, won at least one contract in 1994. These include l’Entreprise Industrielle (E.I), which was absorbed on July 10, 2001, by the company GTMH of the Suez group to become Ineo S.A, the companies Garczynski Traploir (G. and T.) and Saunier Duval Electricité (SDEL) which were absorbed on June 27, 2003, by Vinci Energie, as well as the companies ETDE, SECO, and Sturno.</w:t>
        <w:br/>
        <w:t>7. The awardees of the contracts put out to competition in 1989 and 1994 are listed in the table below:</w:t>
        <w:br/>
        <w:t>Table of companies holding contracts in 1989 and 1994</w:t>
        <w:br/>
        <w:t>Unions Holder 1989 Holder 1994 Contract Amounts in 1994 (in MF)</w:t>
        <w:br/>
        <w:t>Roudouallec ETDE ETDE 29,159</w:t>
        <w:br/>
        <w:t>Gourin ETDE ETDE 337,676</w:t>
        <w:br/>
        <w:t>Le Faouet (union) ETDE ETDE 3,342,781</w:t>
        <w:br/>
        <w:t>Le Faouet (municipality) ETDE ETDE 3,674</w:t>
        <w:br/>
        <w:t>Ploerdut SDEL SDEL 434,507</w:t>
        <w:br/>
        <w:t>Lignol ETDE ETDE 1,483,450</w:t>
        <w:br/>
        <w:t>Gueméné ETDE ETDE 433,195</w:t>
      </w:r>
    </w:p>
    <w:p>
      <w:r>
        <w:t>Unions Holder 1989 Holder 1994 Contract Amounts in 1994 (in MF)</w:t>
        <w:br/>
        <w:t>Locmalo ETDE ETDE 11,071</w:t>
        <w:br/>
        <w:t>Pontivy Group E.I. / Group E.I. /</w:t>
        <w:br/>
        <w:t>5,966,910</w:t>
        <w:br/>
        <w:t>G. and T./ETDE G. and T./ETDE</w:t>
        <w:br/>
        <w:t>Rohan Sturno Sturno 2,961,983</w:t>
        <w:br/>
        <w:t>Josselin E.I. E.I. 1,559,915</w:t>
        <w:br/>
        <w:t>Trinité Porhoët E.I. Group E.I. /Sturno 868,459</w:t>
        <w:br/>
        <w:t>Mauron E.I. E.I. 1,826,952</w:t>
        <w:br/>
        <w:t>Ploermel E.I. E.I. 2,467,309</w:t>
        <w:br/>
        <w:t>Guer E.I. Vigilec Pauly 1,509,247</w:t>
        <w:br/>
        <w:t>Plouay ETDE ETDE 16,307</w:t>
        <w:br/>
        <w:t>Inguiniel SDEL SDEL 279,271</w:t>
        <w:br/>
        <w:t>Persquen SDEL SDEL 7,349</w:t>
        <w:br/>
        <w:t>Baud SDEL SDEL 3,437,086</w:t>
        <w:br/>
        <w:t>Locminé E.I. E.I. 5,639,257</w:t>
        <w:br/>
        <w:t>Malestroit E.I. E.I. 7,669,830</w:t>
        <w:br/>
        <w:t>La Gacilly E.I. SADER 5,88,449</w:t>
        <w:br/>
        <w:t>Ploemeur G.T. CEGELEC 1,252,226</w:t>
        <w:br/>
        <w:t>Hennebont SDEL SDEL 7,683,502</w:t>
        <w:br/>
        <w:t>Auray E.I. E.I. 8,875,295</w:t>
        <w:br/>
        <w:t>Vannes Est E.I. E.I. 31,029,717</w:t>
        <w:br/>
        <w:t>Rochefort-Allaire E.I. MAHE 5,137,751</w:t>
        <w:br/>
        <w:t>Quiberon SDEL SDEL 5,875,770</w:t>
        <w:br/>
        <w:t>La Roche Bernard E.I. Group E.I./MAHE 6,057,304</w:t>
        <w:br/>
        <w:t>Groix SECO SECO 2,493,440</w:t>
        <w:br/>
        <w:t>Belle-Ile G.T. G.T. 2,859,739</w:t>
        <w:br/>
        <w:t>Houat-Hoëdic G.T. G.T. 256,127</w:t>
        <w:br/>
        <w:t>B. IDENTIFIED PRACTICES</w:t>
        <w:br/>
        <w:t>1. COLLABORATION ON THE UNIT PRICE SCHEDULE (BPU)</w:t>
        <w:br/>
        <w:t>8. In the premises of l’Entreprise Industrielle, handwritten minutes of two meetings held on October 4 and 15, 1993, were seized, the purpose of which was the revision of the unit price schedule. Representatives of the companies EI, SDEL, GT, and ETDE revised the prices of chapters 1, 2, 3, 4, 5, and 7 of the schedule during this meeting.</w:t>
      </w:r>
    </w:p>
    <w:p>
      <w:r>
        <w:rPr>
          <w:b/>
        </w:rPr>
        <w:t>[Pages 4–6]</w:t>
      </w:r>
    </w:p>
    <w:p>
      <w:r>
        <w:t>9. The initiative for this meeting was taken by the DDAF of Morbihan, the project manager. Its head stated to the investigators:</w:t>
        <w:br/>
        <w:t>"In September 1993, with the aim of achieving the best possible coherence of the new unit price schedule (BPU), I asked the Industrial Company for its opinion on the desirable developments of the next schedule, particularly regarding the introduction of new services related to technical developments. This approach was communicated orally to Mr. X..., in a formal manner. I questioned this company because I consider it to be the most representative in rural electrification in the department. Unlike some of its competitors whom I did not question, the Industrial Company is present in both underground, overhead, and public lighting works. In my mind, the opinion I requested from the Industrial Company should not lead to this company consulting with the other companies present in the department."</w:t>
      </w:r>
    </w:p>
    <w:p>
      <w:r>
        <w:t>10. The Industrial Company then invited the companies Saunier Duval Electricité, ETDE, and Garczynski &amp; Traploir to the meeting on October 4, 1993. The head of its Ploermel agency stated in this regard:</w:t>
        <w:br/>
        <w:t>"In September 1993, Mr. Y... asked the Industrial Company to make proposals for the homogenization of the unit price schedule (BPU) in rural electrification. Following this request, a first meeting of the most representative local companies took place on October 4, 1993. In addition to the Industrial Company, the companies involved were Saunier Duval Electricité, ETDE, and Garczynski and Traploir. This first meeting aimed to establish the main lines of the proposals to be presented to Mr. Y...:</w:t>
        <w:br/>
        <w:t>• underground works: integration of developed and undeveloped parts</w:t>
        <w:br/>
        <w:t>• price freeze for public lighting</w:t>
        <w:br/>
        <w:t>• normal revaluation (+ 10 points) of overhead works. This meeting resulted in the personal notes found on pages 33 and 34 of sealed document no. 1 created on March 9, 1995...</w:t>
        <w:br/>
        <w:t>"This meeting of 10/4/93 was followed by a second meeting on 10/15/93, solely between the Industrial Company and Saunier Duval Electricité. To my recollection, Saunier Duval Electricité was represented by Mr. Z.... I presented our proposal to Mr. Y... on October 18, 1993, in the form of an annotated schedule. I did not keep a copy of this proposal."</w:t>
      </w:r>
    </w:p>
    <w:p>
      <w:r>
        <w:t>11. These statements were confirmed by the head of the ETDE agency in Caudan:</w:t>
        <w:br/>
        <w:t>"We were contacted by Mr. X... from the Industrial Company to adapt the Unit Price Schedule (BPU) in rural electrification to the new work structures. To my knowledge, this initiative from the Industrial Company follows a step from the D.D.A. This study of a new schedule particularly involved a working meeting at the premises of the Industrial Company with representatives from other companies in October 1993. This meeting aimed to establish a proposal for a new schedule to the D.D.A., integrating the numerous items outside the schedule and new items temporarily included in the 1989 schedule. I did not participate in the presentation of this proposal to the D.D.A."</w:t>
      </w:r>
    </w:p>
    <w:p>
      <w:r>
        <w:t>12. The result of this work was submitted to the project manager on October 18, as confirmed by the representative of the DDA:</w:t>
        <w:br/>
        <w:t>"The agency head handed me his proposals on an old schedule that he had annotated. I did not keep this document. However, I conducted my own studies which are the subject of two documents that I will send you within a fortnight. The proposals from the Industrial Company were largely incorporated into the final schedule after also comparing with the schedules from neighboring departments."</w:t>
      </w:r>
    </w:p>
    <w:p>
      <w:r>
        <w:t>2. THE SUBMISSION POLICY OF COMPANIES</w:t>
        <w:br/>
        <w:t>13. The results of the tenders show a great stability of the awardees of the various contracts, since, except for the areas of Guer, La Gacilly, Rochefort-Allaire, and Ploemeur, the companies that obtained contracts in 1989 remain holders of contracts in 1994.</w:t>
      </w:r>
    </w:p>
    <w:p>
      <w:r>
        <w:t>14. All submissions from the holder companies are summarized in the table below:</w:t>
        <w:br/>
        <w:t>Table of offers from the companies awarded contracts in 1994 presented in the form of coefficients of reduction or increase of the prices of the BPU</w:t>
        <w:br/>
        <w:t>G.T. SDEL E.I. SECO ETDE STURNO MAHE</w:t>
        <w:br/>
        <w:t>Roudouallec - 5 - 8 *</w:t>
        <w:br/>
        <w:t>Gourin - 2 - 5 - 4 - 8 *</w:t>
        <w:br/>
        <w:t>Le Faouet (s) - 5 - 7 - 4 - 5 - 9 *</w:t>
        <w:br/>
        <w:t>Le Faouet (c) - 2 - 6 - 4 - 2 - 8 *</w:t>
        <w:br/>
        <w:t>Ploerdut - 5 - 8 * - 4</w:t>
        <w:br/>
        <w:t>Lignol - 5 - 6 - 8 *</w:t>
        <w:br/>
        <w:t>Guéméné/sc. - 6 - 6 - 4 - 8 *</w:t>
        <w:br/>
        <w:t>Locmalo - 5 - 6 - 8 *</w:t>
        <w:br/>
        <w:t>Pontivy-Clég. -12 * - 7 - 12 * - 12 *</w:t>
        <w:br/>
        <w:t>Rohan - 6 - 2 - 7 - 9 *</w:t>
        <w:br/>
        <w:t>Josselin - 4 0 - 9 *</w:t>
        <w:br/>
        <w:t>La Trinité P. - 3 + 1 - 9 * - 9 *</w:t>
        <w:br/>
        <w:t>Mauron + 1 - 9 *</w:t>
        <w:br/>
        <w:t>Ploermel - 5 + 1 - 9 *</w:t>
        <w:br/>
        <w:t>Guer + 1 - 9</w:t>
      </w:r>
    </w:p>
    <w:p>
      <w:r>
        <w:t>G.T. SDEL E.I. SECO ETDE STURNO MAHE</w:t>
        <w:br/>
        <w:t>Plouay - 6 - 6 - 4 - 2 - 8 * - 2</w:t>
        <w:br/>
        <w:t>Inguiniel - 4 - 10 * - 4</w:t>
        <w:br/>
        <w:t>Persquen - 5 - 8 * - 7</w:t>
        <w:br/>
        <w:t>Baud - 3 - 12 * - 5 - 5 - 6 - 7 - 2</w:t>
        <w:br/>
        <w:t>Locminé - 5 - 7 - 14 *</w:t>
        <w:br/>
        <w:t>Malestroit + 1 - 1 - 9 *</w:t>
        <w:br/>
        <w:t>La Gacilly + 1 - 1 - 9</w:t>
        <w:br/>
        <w:t>Ploemeur - 9 - 7 - 4 - 5 - 2</w:t>
        <w:br/>
        <w:t>Hennebont - 6 - 12 * - 5 - 6 - 7 - 2</w:t>
        <w:br/>
        <w:t>Auray - 5 - 7 - 13 * - 5 - 6</w:t>
        <w:br/>
        <w:t>Vannes-Est - 5 - 6 - 10 * - 5</w:t>
        <w:br/>
        <w:t>Rochef.-Al. + 2 0 - 9 - 18 *</w:t>
        <w:br/>
        <w:t>Quiberon + 1 - 12 * - 5 - 5 - 6</w:t>
        <w:br/>
        <w:t>La Roche-B. 0 - 9 * - 9 *</w:t>
        <w:br/>
        <w:t>Groix - 1 + 3 + 1 - 3 *</w:t>
        <w:br/>
        <w:t>Belle-Ile - 5 * + 1 - 4</w:t>
        <w:br/>
        <w:t>Houat-Hoed. - 3 * + 3 + 1 - 2</w:t>
        <w:br/>
        <w:t>* market awardees</w:t>
      </w:r>
    </w:p>
    <w:p>
      <w:r>
        <w:t>15. The analysis of this table reveals four types of situations:</w:t>
        <w:br/>
        <w:t>• the companies EI, Etde, Sdel, GT, and Sturno obtain 17 contracts, out of the 25 they hold, with discount coefficients of 8 and 9; for the contracts on which they make higher proposals, it is observed that a fifth company, the company Cégelec, makes discount proposals that are never less than 10; the offers from the companies GT, Sdel, EI, Seco, Etde, Sturno, and Mahé on the contracts they were not awarded range between 4 and 5 for the Industrial Company, at 2 for the company Mahé, and are never higher than 7 for the other companies;</w:t>
        <w:br/>
        <w:t>• for three of the contracts that change awardees, the outgoing holders, the Industrial Company and GT, presented discounts of 9, and the new awardees, the companies Vigilec, Sader, and Cegelec proposed discounts of 18, 20, and 13.</w:t>
      </w:r>
    </w:p>
    <w:p>
      <w:r>
        <w:t>16. Regarding the tenders launched by the unions of Baud, Ploemeur, Hennebont, and Quiberon, the companies Mahé and Mainguy submitted separate offers even though they have close capital and management ties. The company Mahé is 90% owned by the company Préfatlantique, whose manager and majority shareholder is Mr. Gilbert A..., who is also, at the time of the events, the secretary general of the company Mahé, of which he will become the chairman and CEO in 1996. The Sarl Préfatlantique, whose purpose is the manufacture of concrete products, is headquartered in Loire Atlantique in Vertou at the same address as the company Mainguy, of which Mr. Gilbert A... is the general manager and principal shareholder. In the declaration signed on September 1, 1994, for the Rochefort-Allaire union, Mr. B..., director of SA Mahé, cites Mr. Gilbert A... among the persons authorized to engage the company Mahé "as the chairman and CEO of the group."</w:t>
      </w:r>
    </w:p>
    <w:p>
      <w:r>
        <w:rPr>
          <w:b/>
        </w:rPr>
        <w:t>[Pages 7–9]</w:t>
      </w:r>
    </w:p>
    <w:p>
      <w:r>
        <w:t>17. When asked about the links between the two companies, the representative of the Mahé company acknowledged: "I would like to clarify that the Mahé company has remained independent regarding its commercial strategy for which it has total autonomy. The same applies to personnel management and current investments. However, it is evident that for significant investments as well as for major contracts engaging the company over several years, such as those for rural electrification, Mr. A… is informed of the projects and submissions… Regarding important contracts, these offers have been communicated to Mr. A…."</w:t>
      </w:r>
    </w:p>
    <w:p>
      <w:r>
        <w:t>3. THE DECLARATIONS OF THE COMPANIES</w:t>
        <w:br/>
        <w:t>18. In the context of the investigation of the file, the companies justified the proposed coefficient levels as follows:</w:t>
        <w:br/>
        <w:t>• knowledge of the terrain, which is very important in rural areas, allowing for time savings and precise forecasting of the volume and nature of the work to be ordered;</w:t>
        <w:br/>
        <w:t>• the distance between the construction sites and their work centers, which affects labor and travel costs;</w:t>
        <w:br/>
        <w:t>• the nature of the work and the various constraints related to soil accessibility and land quality;</w:t>
        <w:br/>
        <w:t>• the difficulty in mobilizing the necessary human and financial resources to meet the very short deadlines imposed by the project owners.</w:t>
      </w:r>
    </w:p>
    <w:p>
      <w:r>
        <w:t>The groupings formed between the companies</w:t>
        <w:br/>
        <w:t>19. Regarding the union of La Trinité Porhoët, the companies l’Entreprise Industrielle and Sturno submitted a joint bid. The manager of the first company, the lead contractor of the grouping, which is allocated 80% of the work, stated: "The grouping with Sturno on the Trinité Porhoët is a temporary grouping to avoid excessive foreseeable competition from this company on this lot."</w:t>
      </w:r>
    </w:p>
    <w:p>
      <w:r>
        <w:t>20. The grouping between l’Entreprise Industrielle, ETDE, and GT on the union of Pontivy-Cléguérec is justified as follows by ETDE: "a necessity for available resources, cost optimization, and it follows an existing grouping," while for l’Entreprise Industrielle: "The grouping with the companies Garczynski and Traploir and Etde responds to a continuation of a previous situation."</w:t>
      </w:r>
    </w:p>
    <w:p>
      <w:r>
        <w:t>21. Regarding the groupings between l’Entreprise Industrielle and Mahé on the unions of La Roche Bernard and Rochefort Allaire, the Mahé company indicated: "these unions were previously held by EI and my first approach was to propose an alliance with this company, with which Mahé had been accustomed to working on the same type of market in Loire-Atlantique. I do not hide from you that this request, although ultimately accepted by EI, was not very well received initially by EI."</w:t>
      </w:r>
    </w:p>
    <w:p>
      <w:r>
        <w:t>22. Regarding the Roche Bernard contract whose tender was canceled, the manager of the Mahé company stated: "The Roche Bernard contract was not sufficient to achieve the volume of work I needed to maintain the Vannes agency, we decided to submit a lower coefficient on the Rochefort-Allaire contract after the cancellation of the previous contract. The 18% discount results partly from a detailed calculation taking into account the contract already obtained on La Roche Bernard and partly from the coefficients already submitted by the competition on the Guer contract, of which we had knowledge through the BOAMP of 11.8.94. L’Entreprise Industrielle refused to follow me on this basis. Once the Rochefort contract was awarded to S.A. Mahé, I made a new request to l’Entreprise Industrielle to propose a new collaboration based on the common grounds corresponding to the initial distribution made for the previous offer and direct payment under the conditions of the contract. I made this approach because the total volume of the contract exceeded my resources in men and equipment at the time and moreover, I thus shared the loss of earnings and returned to an acceptable average coefficient (- 13%) for my company."</w:t>
      </w:r>
    </w:p>
    <w:p>
      <w:r>
        <w:t>23. L’Entreprise Industrielle stated: "The grouping with Mahé on the Rochefort-Allaire union was not renewed during the second consultation because l’Entreprise Industrielle did not want to follow the price level proposed by Mahé, the price of Cegelec being known at that time. Mahé, being subsequently awarded the contract, announced that it was looking for a subcontractor. After consideration, l’Entreprise Industrielle preferred to accept the subcontracting proposed by Mahé rather than let another company take its place."</w:t>
      </w:r>
    </w:p>
    <w:p>
      <w:r>
        <w:t>24. Regarding these groupings, the head of the electrification service within the departmental agriculture directorate of Morbihan stated: "In my opinion, the EI/ETDE/GT grouping on the Pontivy union does not seem to respond to a technical necessity for grouping the resources of these three companies; it seems to respond more to a historical grouping on this union. Regarding the EI/STURNO grouping, I observe that until 1995, STURNO carried out the majority of the work, this situation seems to evolve in favor of EI, which has presumably tried to compensate for its losses of activities on other unions in the department. Regarding the unions of Rochefort en Terre and La Roche Bernard, I have also observed since late 1995, a rebalancing between EI and MAHE, but this time in favor of the latter company. For certain operations, the geographical distribution of the municipalities is no longer respected in favor of a financial rebalancing in favor of MAHE. In the first period of the contract, EI indeed carried out the majority of the work due to the pre-studies it had conducted as part of the previous contract."</w:t>
      </w:r>
    </w:p>
    <w:p>
      <w:r>
        <w:t>4. THE DOCUMENT SEIZED IN THE ETDE COMPANY (COTES 279-301)</w:t>
        <w:br/>
        <w:t>25. This handwritten document, drafted in 1991, in the context of the previous tender launched in 1989 for the period up to 1994 and titled: "ER Market – Synthesis Attractions/Assets. ER South Brittany," presents, based on an analysis of the needs identified in the rural electrification sector and the strengths of the company, the different hypotheses for the evolution of the company's market shares until 1996. In conclusion of the section dedicated to the analysis of the situation, one can read: "well-positioned market, a safe value and of good duration. However, with a low and little evolving volume if the market remains protected. In the event of an uncontrolled open tender, our high production costs may be detrimental."</w:t>
      </w:r>
    </w:p>
    <w:p>
      <w:r>
        <w:t>However, it is the agency's flagship segment due to its margin level on one hand and the potential it can bring us in terms of spillover effect. In the section titled "objective offensive strategy favorable evolution," the document discusses the two possibilities available to the company in anticipation of the 1994 tender offer:</w:t>
      </w:r>
    </w:p>
    <w:p>
      <w:r>
        <w:t>"1st scenario:</w:t>
        <w:br/>
        <w:t>* in 1994: the market opens to competition.</w:t>
        <w:br/>
        <w:t>Possible positioning on targeted sites (commercial actions above)</w:t>
        <w:br/>
        <w:t>→ additional market share acquisition and margin drop.</w:t>
      </w:r>
    </w:p>
    <w:p>
      <w:r>
        <w:t>2nd scenario:</w:t>
        <w:br/>
        <w:t>* in 1994: the market remains closed to competition (entry barriers work well).</w:t>
        <w:br/>
        <w:t>We request a pool and to increase from 7 to 10% on the 56 (56 5.9 MF excl. tax + 29 0.96 MF excl. tax = 6.86 MF excl. tax).</w:t>
        <w:br/>
        <w:t>Stable margin."</w:t>
      </w:r>
    </w:p>
    <w:p>
      <w:r>
        <w:t>A table follows showing the evolution of the contract amounts which, for Morbihan, is presented as follows:</w:t>
        <w:br/>
        <w:t>Amount MF excl. tax 1990 1991 1992 1993 1994 1995 1996</w:t>
        <w:br/>
        <w:t>FR 56 4.6 4.8 4.8 4.8 5.35 5.9 5.9</w:t>
      </w:r>
    </w:p>
    <w:p>
      <w:r>
        <w:t>26. The amount of contracts obtained in 1994 by the ETDE company was ultimately 5.6 MF excl. tax, to which should be added 33% of the shared amount of the significant contract of Pontivy obtained in grouping with l’Entreprise Industrielle and GT, which represents a little over 10% of the minimum volume of work planned in 1994 in Morbihan.</w:t>
      </w:r>
    </w:p>
    <w:p>
      <w:r>
        <w:t>5. THE DOCUMENT SEIZED IN THE INDUSTRIAL COMPANY (COTES 209 – 1 TO 4)</w:t>
        <w:br/>
        <w:t>27. This document, sent on December 22, 1994, by the headquarters of the company in Vannes to its agency in Ploërmel, presents, for 1989 and 1994, the list of contracts, the awarding company, and their minimum and maximum amounts. At the end of the document, there is a table summarizing the market shares of the historical holders, with the names of the companies Vigilec, Sader, and Cegelec, newcomers to the 1994 markets, not appearing there.</w:t>
      </w:r>
    </w:p>
    <w:p>
      <w:r>
        <w:t>28. Regarding this document, the head of the local EI agency in Ploërmel stated: "the fax that was sent to me by the EI agency in Vannes was intended to provide me with an argument against Garczynski &amp; Traploir and ETDE in order to maintain each party's share at 33% on the Pontivy-Cléguérec market."</w:t>
      </w:r>
    </w:p>
    <w:p>
      <w:r>
        <w:t>6. THE DOCUMENT SEIZED IN THE SECO COMPANY (COTES 380-382)</w:t>
        <w:br/>
        <w:t>29. L’Entreprise Industrielle faxed to the Seco company on February 27, 1995, a copy of two letters sent by it to the departmental agriculture directorate containing price proposals presented to the project owner for the execution of services not provided for in the price schedule. These civil engineering works</w:t>
      </w:r>
    </w:p>
    <w:p>
      <w:r>
        <w:rPr>
          <w:b/>
        </w:rPr>
        <w:t>[Pages 10–12]</w:t>
      </w:r>
    </w:p>
    <w:p>
      <w:r>
        <w:t>Seco, on February 27, 1995, the copy of two letters sent by it to the departmental directorate of agriculture containing price proposals submitted to the project manager for the execution of services not provided for in the price schedule. These telephone civil engineering works were requested on October 18, 1994, from all bidding companies as a supplement to the initial contract. The fax was received by Seco the day before it responded to this new request.</w:t>
      </w:r>
    </w:p>
    <w:p>
      <w:r>
        <w:t>C. NOTIFIED GRIEVANCES</w:t>
        <w:br/>
        <w:t>30. Based on the elements presented above, the following grievances have been notified:</w:t>
        <w:br/>
        <w:t>• to S.A L’Entreprise Industrielle, S.A Garczynski &amp; Traploir (GT), S.A Saunier Duval Electricité (SDEL), and S.A ETDE for having participated, before the submission of offers, in a consultation aimed at revising, without the knowledge of the project manager, the unit price schedule serving as the basis for the companies' proposals, which, due to the exchanged information, had the purpose and could have the effect of reducing the independence of their offers and misleading the project manager regarding the actual conditions of the revision of the unit price schedule in anticipation of the launch of the 1994 tender for rural electrification and public lighting contracts in Morbihan.</w:t>
        <w:br/>
        <w:t>• to the companies S.A l’Entreprise Industrielle, S.A Garczynski &amp; Traploir (GT), S.A Saunier Duval Electricité (SDEL), S.A ETDE, S.A Seco, and S.A Sturno for having implemented, prior to the submission of their proposals, a consultation that had the purpose and effect of coordinating their offers to maintain the division of thirty of these contracts in favor of the previous holders and to prevent the emergence of competitive offers likely to challenge the overall distribution of contracts thus obtained.</w:t>
        <w:br/>
        <w:t>• to the companies S.A Mahé and Mainguy for having, prior to the submission of their offers on four contracts, organized a consultation that aimed at exchanging information on the conditions and amounts of their offers and had the effect of misleading the project manager regarding the reality of the competition existing between these two companies linked by close capital and social ties.</w:t>
      </w:r>
    </w:p>
    <w:p>
      <w:r>
        <w:t>II. Discussion</w:t>
        <w:br/>
        <w:t>A. ON THE PROCEDURE</w:t>
        <w:br/>
        <w:t>1. REGARDING THE ADMISSIBILITY OF THE REFERRAL</w:t>
        <w:br/>
        <w:t>31. The company L’Entreprise Industrielle argues that the referral to the Council, dated February 25, 1997, is inadmissible because decree no. 95-1248 of November 28, 1995, relating to the powers of the delegated minister for finance and foreign trade could not validly delegate to him the power to refer to the Competition Council since, under Article L.462-5 of the Commercial Code, this power has been attributed restrictively by law to the minister responsible for the economy and that consequently only a law, particularly in a matter of a penal nature, can authorize such delegation. Relying on decisions of the Council of State (CE of June 20, 1961, Proc. Gén. Cour des comptes; CE sect. February 28, 1904, Fed. Educ. Nat. and Fed. nat. of free Catholic teaching unions; CE sect. March 29, 2000, Ludiaqueno) and on decision 98-D-18 of March 10, 1998, of the Council, this company further argues that, on one hand, Article 11 of the ordinance of December 1, 1986, which authorizes the minister of the economy to refer to the Council, has a limiting character that prohibits him from delegating this power and that, on the other hand, the decree of November 28, 1995, did not sufficiently precisely define the powers thus delegated by the minister of the economy.</w:t>
      </w:r>
    </w:p>
    <w:p>
      <w:r>
        <w:t>32. According to Article L. 462-5 of the Commercial Code: The Competition Council may be referred to by the minister responsible for the economy regarding any practice mentioned in Articles L. 420-1, L. 420-2, and L. 420-5. Furthermore, decree no. 95-1248 of November 28, 1995, relating to the powers of the delegated minister for finance and foreign trade provides that: "Article 1: Mr. Yves C…, delegated minister for finance and foreign trade, exercises the powers entrusted to him by the minister responsible for the economy and finance, relating to consumption, competition, public procurement, and foreign trade (...). Article 3: The delegated minister for finance and foreign trade receives delegation from the minister of economy and finance to sign, in his name, all acts, orders, and decisions within the limits of his powers, subject to the provisions of Article 4 below. He countersigns jointly with the minister of economy and finance the decrees falling within his powers. Article 4: decisions relating to personnel, organization, and functioning of the central administration and the decentralized services of the directions and services listed in Article 2 (...) are taken jointly by the minister of economy and finance and the delegated minister for finance and foreign trade."</w:t>
      </w:r>
    </w:p>
    <w:p>
      <w:r>
        <w:t>33. It follows primarily from Article 21 of the Constitution that the Prime Minister may delegate certain of his powers to ministers and from decree no. 47-233 of January 23, 1947, as amended, that ministers may delegate the authority to sign all individual or regulatory acts except decrees. Therefore, the decree of November 28, 1995, taken by the President of the Republic, countersigned by the Prime Minister and by the minister of economy and finance, could legally provide that Mr. Yves C…, delegated minister for finance and foreign trade, receives delegation from the minister of economy and finance to sign in his name all acts and decisions within the limits of the powers entrusted to him by the minister of finance, among which is competition. Thus, the fact that certain specific powers have been entrusted to the minister by law does not prevent these powers from being delegated to the delegated minister by decree. In ruling no. 129 of January 11, 2000, the Court of Cassation, while the argument was raised before it that, the law having entrusted to the minister responsible for the economy the power to initiate an investigation, a simple decree, such as that of November 28, 1995, could not legally attribute this power to another authority, held that "it is not prohibited for the minister to delegate his powers in accordance with laws and regulations." Similarly, the Council of State considered that the delegated minister was competent, based on the decree of November 28, 1995, to take an order in a matter where the law attributes competence to the minister (CE no. 184557 of April 27, 1998, Mr. Cornette de Saint-Cyr).</w:t>
      </w:r>
    </w:p>
    <w:p>
      <w:r>
        <w:t>34. If, secondly, in its decision no. 98-D-18 of March 10, 1998, the Competition Council held that it could only be referred to by the authorities or organizations listed by the combined provisions of the first paragraph of Article 11 and the second paragraph of Article 5 of the ordinance of December 1, 1986, and that this list presented a limiting character, this decision did not rule on the possibility for the minister responsible for the economy to delegate his signature to the delegated minister responsible for finance to refer to the Competition Council. Furthermore, the solution of the aforementioned ruling of June 30, 1961, in which the Council of State considered that the limiting enumeration made by law of the authorities authorized to refer to the Court of Budgetary Discipline excluded any possibility of delegating this referral power, cannot be transposed to the present case, as this decision was rendered in view of specific legislative provisions relating to the referral to this Court, expressly providing that "only the president of the National Assembly, the president of the Council of the Republic, ... the minister of finance" have the quality to refer to the Court, the aforementioned provisions being "regarded, given the particularly serious nature of the proceedings before this high jurisdiction, as having intended to exclude, for the authorities in question, the possibility of delegating their signature to decide on the referral to said Court."</w:t>
      </w:r>
    </w:p>
    <w:p>
      <w:r>
        <w:t>35. Thirdly, it follows from the combined provisions of Article 1 and Article 3 of the decree of November 28, 1995, that Mr. Yves C… has received the competence to sign, in the name of the minister, all decisions within the limits of the powers entrusted to him, among which is competition. Now, the referral to the Competition Council constitutes a decision relating to competition so that, as the Paris Court of Appeal decided in another case: "Mr. Yves C… was therefore authorized by this single text to refer to the Competition Council" (Sté Masterfood, May 7, 2002). Therefore, the company L’Entreprise Industrielle is not justified in arguing that the delegation granted to Mr. C… is not sufficiently precise to authorize him to refer to the Council.</w:t>
      </w:r>
    </w:p>
    <w:p>
      <w:r>
        <w:t>2. REGARDING THE PRESCRIPTION</w:t>
        <w:br/>
        <w:t>36. The companies Mahé and Mainguy observe that no interruptive act of prescription occurred between the referral to the Council in February 1997 and the notification of grievances in March 2002 and that consequently, the Council is not entitled to continue the procedure against them.</w:t>
      </w:r>
    </w:p>
    <w:p>
      <w:r>
        <w:t>37. However, a letter was sent on December 8, 1999, by the rapporteur to all companies awarded at least one electrification contract in Morbihan, during the tenders launched in December 1993, in order to gather additional information on the conditions of submission to these tenders. This request for information, as the Council has already ruled in previous decisions (cf. in particular decision 02-D-48), constitutes an act aimed at the investigation and establishment of facts and has therefore validly interrupted the prescription. The Mahé company responded to this letter on February 17, 2000. The Mainguy company, which was not awarded one of the contracts concerned, was not a recipient of this letter, but as ruled by the Paris Court of Appeal in a judgment of March 2, 1999, the interruption of the prescription has effect with respect to all parties involved.</w:t>
      </w:r>
    </w:p>
    <w:p>
      <w:r>
        <w:rPr>
          <w:b/>
        </w:rPr>
        <w:t>[Pages 13–15]</w:t>
      </w:r>
    </w:p>
    <w:p>
      <w:r>
        <w:t>B. ON THE MERITS AND WITHOUT NEED TO RULE ON THE GROUND BASED ON THE DURATION OF THE PROCEDURE.</w:t>
        <w:br/>
        <w:t>1. REGARDING THE COMPLAINT OF COLLUSION ON THE UNIT PRICE SCHEDULE</w:t>
        <w:br/>
        <w:t>38. A complaint was notified to the companies L’Entreprise Industrielle, Saunier Duval Electricité, ETDE, and Garczinski and Traploir for colluding on the revision of almost all the items of the unit price schedule, without the knowledge of the project owner who had only consulted L’Entreprise Industrielle.</w:t>
        <w:br/>
        <w:t>39. However, the Court of Appeal of Paris, in a case where companies were prosecuted for having colluded with other companies as well as with the local professional union, during the definition of the unit price schedule (BPU) used for the contracts in question by the project manager, held, in a judgment of January 9, 2001, Société SEE, Alsthom and others, "that, in addition to that of the project manager, the independence or autonomy of decision of the companies was also preserved, no document in the file demonstrating in a concrete manner the existence between these companies of an exchange of information and an illicit collusion on discounts or price increases that could be subsequently proposed, during the disclosure of the elements of the new BPU with the calls for tenders. Ultimately considering that, since the only incriminated collusion, relating to the setting of prices of the new schedule, originated from a request from the project manager for the updating operation and did not stem from an initiative or deliberate action of the companies concerned, there is no need for sanction;</w:t>
        <w:br/>
        <w:t>40. In this case, while it is true that the project manager had addressed L’Entreprise Industrielle, it does not appear from the elements of the file that he specified to the latter that it could not associate other professionals with its work, or that L’Entreprise Industrielle concealed from him that it was a collective study. Therefore, the solution of the judgment of January 9, 2001 is transposable to the present case.</w:t>
        <w:br/>
        <w:t>41. Secondly, there are no indications in the file to presume that the companies exceeded the task they had undertaken, by engaging in exchanges regarding their own costs or the discounts or increases they intended to propose in the context of the imminent call for tenders. The judgment of the Court of Appeal of Paris of February 12, 2002, Société Entreprise Industrielle, recalls that a BPU generally contains, with respect to each of the articles it enumerates, an indication of a price supposed to correspond to the average market price determined by the project manager based on general data known to the concerned professionals, without taking into account individual situations, whether concerning supply costs, working time, or average hourly wages in the profession. It does not appear from the elements collected in this case that, under the guise of revising the BPU, the companies involved in the present procedure communicated to each other information specific to each of them that could be used in the future contract.</w:t>
        <w:br/>
        <w:t>42. Consequently, the complaint is dismissed, in the absence of elements to establish its validity.</w:t>
      </w:r>
    </w:p>
    <w:p>
      <w:r>
        <w:t>2. REGARDING THE COMPLAINT OF DISTRIBUTION OF RURAL ELECTRIFICATION AND PUBLIC LIGHTING CONTRACTS IN THE MORBIHAN DEPARTMENT FOR 1994</w:t>
        <w:br/>
        <w:t>43. The companies L’Entreprise Industrielle, ETDE, Saunier Duval Electricité, Garczynski &amp; Traploir, Seco, and Sturno argue that the comparison of the discounts they proposed among the different concerned contracts does not reveal any suspicious convergence that could constitute an indication of a general agreement on distribution among all the bidders. They justify the formation of groups by the constraints related to the distance of some of their agencies from the site of the work to be carried out and the necessity to respond promptly to the requests of the project owners, regardless of the work engaged elsewhere. On the document seized at ETDE, they argue that it is the draft of an analysis note on the possible evolution of the markets written more than three years before the date of the call for tenders and which contains no element demonstrating illicit collusion between the companies.</w:t>
        <w:br/>
        <w:t>44. Furthermore, the companies Seco and L’Entreprise Industrielle argue that the document seized at the premises of Seco, which attests to the transmission by L’Entreprise Industrielle of price proposals, cannot constitute an indication of collusion on the calls for tenders launched in December 1993 as it is subsequent to the submission of its own offers on the lots for which it submitted bids.</w:t>
        <w:br/>
        <w:t>45. The examination of the discounts proposed by the six companies involved on the 32 concerned contracts shows that they propose the largest discounts on the contracts where they face competition from a seventh company and that, in general, the discounts proposed on the lots for which they are already holders are higher than on other lots.</w:t>
        <w:br/>
        <w:t>46. However, these elements alone are insufficient to constitute an indication of a coordinated bidding policy among the companies involved, especially since the total number of bidders is always equal to or greater than 9, such a policy would have required prior knowledge, before the submission of offers, of the intentions of the companies not involved in the present procedure. Moreover, the renewal of contract holders is not systematic, with several contracts having been won by companies that were not previously holders. Finally, the fact that companies propose larger discounts for the contracts of which they are already holders does not, in itself, constitute an indication of market distribution, as the knowledge of the contracts concerned by these companies is likely to give them a competitive advantage over their competitors.</w:t>
        <w:br/>
        <w:t>47. Regarding the document seized at ETDE and described in paragraph 25 above, in addition to the fact that it is largely prior to the date of the launch of the calls for tenders in question, the draft of a study on the market evolution prospects cannot constitute an indication of the existence of a general collusion on the distribution of calls for tenders among the companies involved, on the grounds that it mentions barriers to entry into the market. Similarly, the summary table of the market shares of the holders of the awarded contracts, seized at the premises of L’Entreprise Industrielle (cf. paragraph 27 above) does not demonstrate the existence of collusion among the concerned companies since the elements it contains relate to contracts already awarded.</w:t>
        <w:br/>
        <w:t>48. The document seized at the premises of Seco and described in paragraph 29 above, attests to the transmission, by fax dated December 22, 1994, by the company L’Entreprise Industrielle, of the prices it itself presented to the project manager for the execution of works not initially planned. However, the transmission of these elements is largely subsequent to the submission of offers for the contracts that are the subject of the notified complaint. Furthermore, it does not appear from the elements of the file that the company Seco used the transmitted prices.</w:t>
        <w:br/>
        <w:t>49. Finally, regarding the groups, while they can be justified on a technical level by the proximity of the work centers of the member companies and the deadlines imposed by the project managers, the statements of the companies themselves and the project manager show, however, that they are also used by the companies to ease competitive pressure. The head of L’Entreprise Industrielle, cited in paragraph 19 above, thus acknowledges that the grouping on the call for tenders launched by the union of La Trinité Porhoët was formed "to avoid a too strong foreseeable competition" with the company Sturno. Similarly, the heads of L’Entreprise Industrielle admit, in their statements cited in paragraphs 21 to 23 above, that the groups primarily responded to the pressures exerted by the company Mahé. This isolated indication is nevertheless insufficient to establish that the companies involved implemented, prior to the submission of their proposals, a collusion aimed at coordinating their offers to maintain the distribution of thirty of these contracts in favor of the previous holders and to prevent the emergence of competitive offers likely to challenge the general distribution of contracts thus obtained.</w:t>
        <w:br/>
        <w:t>3. REGARDING THE EXCHANGES OF INFORMATION BETWEEN THE COMPANIES MAINGUY AND MAHÉ</w:t>
        <w:br/>
        <w:t>50. According to a consistent case law, which was recalled in decision 03-D-01 regarding the behavior of the companies of the "Air Liquide" group in the medical gases sector, the Council considers that it is permissible for companies with legal or financial ties between them, but having commercial autonomy, to submit distinct and competing offers, provided they do not collude before the submission of the offers. It is also permissible for companies with legal or financial ties between them, but having commercial autonomy, to renounce, generally or occasionally, this commercial autonomy during the competitive bidding or a bidding process and to collude to decide which company will submit an offer or to collude to establish this offer, provided that only one offer is submitted.</w:t>
        <w:br/>
        <w:t>51. Conversely, if such companies submit multiple offers, the plurality of these offers demonstrates the commercial autonomy of the companies presenting them and the independence of these offers. However, if these multiple offers were established in collusion, or after the companies communicated with each other, these offers are no longer independent. Therefore, presenting them as such misleads the market manager regarding the nature, scope, extent, or intensity of competition, and this practice consequently has an object or, potentially, an anticompetitive effect. Furthermore, it is irrelevant to the qualification of this practice that the market manager was aware of the legal ties uniting the concerned companies, as the existence of such ties does not necessarily imply collusion or the exchange of information.</w:t>
        <w:br/>
        <w:t>52. The companies Mainguy and Mahé, which belong to the same group led by Mr. Gilbert A…, submitted separate offers on four lots of the rural electrification and public lighting contract in Morbihan. The representative of the company Mahé acknowledged that for these significant contracts engaging the company for several years, Mr. A… was informed of the submission projects.</w:t>
      </w:r>
    </w:p>
    <w:p>
      <w:r>
        <w:rPr>
          <w:b/>
        </w:rPr>
        <w:t>[Pages 16–16]</w:t>
      </w:r>
    </w:p>
    <w:p>
      <w:r>
        <w:t>53. The companies Mainguy and Mahé argue that no evidence has been presented of a joint preparation of their bids, given that, in the only statement retained against them, namely that of the director of the Mahé company, he indicated that his company had total commercial autonomy.</w:t>
      </w:r>
    </w:p>
    <w:p>
      <w:r>
        <w:t>54. Both companies submitted bids on four electrification syndicates with discounts of 4% for the Mainguy company and 2% for the Mahé company. They applied these same discounts on the 15 other syndicates where they alternatively submitted bids. Thus, the fact of submitting separate bids on four lots had no impact on the level of the proposals submitted by each company.</w:t>
      </w:r>
    </w:p>
    <w:p>
      <w:r>
        <w:t>55. Furthermore, it appears that, in the lots where they were present, the significant gap between the level of their discounts, which they explain by the different distances between their respective headquarters and the locations of their teams' interventions, does not allow for the consideration, in light of the significant number of submissions from competing companies, that these bids had the character of cover bids prepared to allow either of the companies to obtain the contract.</w:t>
      </w:r>
    </w:p>
    <w:p>
      <w:r>
        <w:t>56. Since no element derived from the analysis of their submissions shows that these companies coordinated their proposals, the fact that the chairman and CEO of the group was, in general, informed of the submissions does not constitute sufficient evidence that, in this case, these companies communicated with each other to jointly prepare their proposals.</w:t>
      </w:r>
    </w:p>
    <w:p>
      <w:r>
        <w:t>57. It follows from all of the above that it is not established that the companies l’Entreprise Industrielle, Garczynski &amp; Traploir (GT), Saunier Duval Electricité (SDEL), ETDE, Seco, Sturno, Mahé, and Mainguy violated the provisions of Article L. 420-1 of the Commercial Code.</w:t>
      </w:r>
    </w:p>
    <w:p>
      <w:r>
        <w:t>DECISION:</w:t>
        <w:br/>
        <w:t>Single Article - It is not established that the companies l’Entreprise Industrielle, Garczynski &amp; Traploir (GT), Saunier Duval Electricité (SDEL), ETDE, Seco, Sturno, Mahé, and Mainguy violated the provisions of Article L. 420-1 of the Commercial Code.</w:t>
        <w:br/>
        <w:t>Deliberated on the oral report of Pierre Avignon, by Frédéric Jenny, vice-president, presiding over the session, Ms. Marie-Madeleine Renard-Payen and Mr. Bruno Flichy, members.</w:t>
        <w:br/>
        <w:t>The session secretary, The vice-president,</w:t>
        <w:br/>
        <w:t>Christine Charron Frédéric Jenny</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