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https://www.autoritedelaconcurrence.fr/fr/decision/relative-des-pratiques-relevees-sur-les-marches-des-produits-en-beton-prefabriques-dans-le</w:t>
      </w:r>
    </w:p>
    <w:p>
      <w:r>
        <w:t>Pages translated : 8</w:t>
      </w:r>
    </w:p>
    <w:p/>
    <w:p>
      <w:r>
        <w:rPr>
          <w:b/>
        </w:rPr>
        <w:t>[Pages 1–3]</w:t>
      </w:r>
    </w:p>
    <w:p>
      <w:r>
        <w:t xml:space="preserve">FRENCH REPUBLIC  </w:t>
        <w:br/>
        <w:t xml:space="preserve">Decision No. 95-D-63 of November 14, 1995  </w:t>
        <w:br/>
        <w:t xml:space="preserve">regarding practices observed in the markets for prefabricated concrete products  </w:t>
        <w:br/>
        <w:t>in the Doubs department</w:t>
      </w:r>
    </w:p>
    <w:p>
      <w:r>
        <w:t xml:space="preserve">The Competition Council (plenary session),  </w:t>
        <w:br/>
        <w:t xml:space="preserve">Having regard to the letter registered on May 12, 1993, under number F 592, by which the Minister of Economy referred to the Competition Council practices observed in the market for prefabricated concrete products in the Doubs department;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of the Government Commissioner and those presented by the companies Cibomat, Vieille, Bouvet-Ponsar, Ferrari, and Tubagglo;  </w:t>
        <w:br/>
        <w:t xml:space="preserve">Having regard to the other documents in the file;  </w:t>
        <w:br/>
        <w:t xml:space="preserve">The rapporteur, the general rapporteur, the Government Commissioner, and the representatives of the companies Ferrari, Cibomat, Vieille, Tubagglo, and Bouvet-Ponsar having been heard, the company Creuze having been duly summoned;  </w:t>
        <w:br/>
        <w:t>Adopts the decision based on the findings (I) and the reasons (II) set out below:</w:t>
      </w:r>
    </w:p>
    <w:p>
      <w:r>
        <w:t xml:space="preserve">I. - FINDINGS  </w:t>
        <w:br/>
        <w:t xml:space="preserve">A. - The market  </w:t>
        <w:br/>
        <w:t>Prefabricated concrete products are used in the construction and public works sectors by a clientele of professionals or amateurs. Essentially, it is necessary to distinguish construction products from public works and environmental products. The first category includes small construction elements such as aggregate blocks or concrete blocks, hollow-core slabs, tiles, stair steps, or larger elements used for building walls, large floors, conduits, and ducts. Public works contractors, on the other hand, are users of pipes, curbs, paving, and beams intended for civil engineering.</w:t>
      </w:r>
    </w:p>
    <w:p>
      <w:r>
        <w:t xml:space="preserve">These products are marketed in varying quantities. The pallet is a sales unit commonly used by professionals for blocks, hollow-core slabs, or tiles. Transportation is provided by the sellers, who offer either an ex-works or delivered price. The particularly heavy nature of these materials requires the presence of lifting equipment for loading and unloading; these are provided by the seller if the client does not have them. Unloading may be subject to a specific charge. The low value of these products and their heavy nature limit their shipping distance. It appears from the investigation that the maximum delivery distance for manufacturers is less than 80 km and that for traders would be approximately 15 km. Furthermore, manufacturers often deliver directly to the clients of traders; this common practice increases the trading area of the latter and avoids a costly break in the load. Regarding the Doubs department, given the high transportation costs of prefabricated concrete products as well as the economic and geographical characteristics of the department, two activity zones can be distinguished:  </w:t>
        <w:br/>
        <w:t xml:space="preserve">- the first extends over the Northeast of the department; it has as its center the city of Montbéliard and is influenced by the territory of Belfort;  </w:t>
        <w:br/>
        <w:t>- the second extends over the Southwest of the department, around the agglomerations of Besançon and Pontarlier, which are about 50 km apart.</w:t>
      </w:r>
    </w:p>
    <w:p>
      <w:r>
        <w:t xml:space="preserve">B. - The facts to qualify  </w:t>
        <w:br/>
        <w:t xml:space="preserve">1. Introduction of unloading fees by certain manufacturers of concrete products in the Doubs department  </w:t>
        <w:br/>
        <w:t xml:space="preserve">The companies Tubagglo, Vieille, Cibomat, and Ferrari, manufacturers of concrete products whose establishments are located in the Southwest of the Doubs department, sent between August 16 and 23, 1991, circular letters informing their clients of the introduction of a pricing structure for unloading certain prefabricated concrete products.  </w:t>
        <w:br/>
        <w:t xml:space="preserve">- Thus, by circular letter dated August 16, 1991, the company Tubagglo informed all its clients: 'The evolution of the various parameters involved in the analysis of the cost of our products (equipment maintenance, truck, crane...) leads us to inform you of the following changes effective from September 1, 1991: unloading crane per pallet of hollow-core blocks, cement, curbs...: 12 F excluding tax; flat rate for placing beams on the edge of the slab in bundles depending on possibilities: 500 F excluding tax.'  </w:t>
        <w:br/>
        <w:t xml:space="preserve">- The company Vieille circulated a letter dated August 19, 1991, stating: 'The circumstances of the market have led us in recent years to provide numerous free services, despite the significant costs in equipment and personnel that this entailed. Finding ourselves unable to continue, we are compelled to apply, as of September 1, 1991, an unloading charge of 12 F per pallet on aggregates, hollow-core slabs, paving, and curbs, and 500 F for the placement of beams in bundles on edges...'  </w:t>
        <w:br/>
        <w:t>- By letter dated August 20, 1991, Point P Comprenor, an establishment of the company Cibomat, informed its clients: 'As of September 1, 1991, we will charge an additional fee for unloading by crane of 12 F excluding tax per pallet on deliveries of blocks, paving, curbs. In the case of the provision of grouped beams on slabs, we will apply a flat rate of 500 F excluding tax per floor.'</w:t>
      </w:r>
    </w:p>
    <w:p>
      <w:r>
        <w:t>2. Similarly, by letter dated August 23, 1991, the company Ferrari informed all its clients: 'Due to the increasingly high cost of our handling and unloading equipment, we are obliged, starting September 1, 1991, to apply the following rates for these service provisions: unloading per pallet: 12 F excluding tax; flat rate for placing beams on the edge with a crane, depending on possibilities: 500 F excluding tax.'</w:t>
      </w:r>
    </w:p>
    <w:p>
      <w:r>
        <w:t xml:space="preserve">2. Introduction of unloading fees for concrete products by three traders in the Doubs department  </w:t>
        <w:br/>
        <w:t xml:space="preserve">The companies Bouvet-Ponsar, Creuze, and Matériaux comtois (a subsidiary of the company Cibomat, which was absorbed by merger effective January 1, 1994), passed on the cost of this service in their own rates at the beginning of September 1991.  </w:t>
        <w:br/>
        <w:t xml:space="preserve">Thus, by letter dated August 27, 1991, the company Bouvet-Ponsar informed its clients of the collection of unloading fees: 'For several years, the cost of services provided during our deliveries had not been charged. However, as these costs continue to rise, we are compelled to apply from September 1, 1991, the following pricing: unloading aggregates, hollow-core slabs: 12 F per pallet, placing beams on the edge: 500 F per bundle.'  </w:t>
        <w:br/>
        <w:t xml:space="preserve">By a letter dated September 1991, the sales department of the Thise and Saint-Vit agencies of the company Matériaux comtois informed its clientele of the new pricing in the following terms: 'As of September 1, 1991, an additional charge of 12 F excluding tax per pallet will be billed on the following products: cements, aggregates, paving, and curbs. For prefabricated floors, the provision of grouped beams on the edge will incur a flat rate of 500 F per floor.' The prices actually charged will be slightly different as confirmed by the hearing of Mr. Henriet, agency manager: 'Currently, the unloading service is billed at 13 F to individuals, but remains at 12 F for companies.'  </w:t>
        <w:br/>
        <w:t>By a declaration report dated June 24, 1992, Mr. Creuze, manager of S.A.R.L. Creuze, declared that he would pass on the increase requested by the company Vieille, his sole supplier: 'I pass on the increase to my clientele at the rate of 12 F excluding tax for companies, 13 F excluding tax for individuals.'</w:t>
      </w:r>
    </w:p>
    <w:p>
      <w:r>
        <w:t xml:space="preserve">II. - BASED ON THE FINDINGS ABOVE, THE COUNCIL  </w:t>
        <w:br/>
        <w:t xml:space="preserve">On the imputability of the practices:  </w:t>
        <w:br/>
        <w:t>Considering that the company Cibomat argues that a confusion is made in the notification of grievances and the relationship between Point P Comprenor, whose main activity is trading, and Comprenor Industrie, whose main activity is manufacturing, each of these establishments enjoying economic, commercial, and administrative autonomy; that Comprenor Industrie having never established a pricing structure for unloading, unlike Point P Comprenor, cannot therefore be prosecuted as a manufacturer; that finally the establishment Comprenor Industrie was subject to a transfer to a third party, which has not been implicated, on December 23, 1994;</w:t>
      </w:r>
    </w:p>
    <w:p>
      <w:r>
        <w:rPr>
          <w:b/>
        </w:rPr>
        <w:t>[Pages 4–6]</w:t>
      </w:r>
    </w:p>
    <w:p>
      <w:r>
        <w:t>But considering that Point P Comprenor and Comprenor Industrie constituted two establishments of the company Cibomat, located at 8, route de Lyon, in Beure; that, regarding Comprenor Industrie, the investigation established that its production function was exercised solely on behalf of Cibomat, its subsidiaries, or companies holding a stake in this group; that Point P Comprenor notably had the function of selling concrete products manufactured by Comprenor Industrie; that it is not proven that the product transfers between Comprenor Industrie and Point P Comprenor resulted in the issuance of a sales invoice; that, moreover, all invoices attached to the file originate from the company Cibomat, which is the seller within the meaning of Article 31 of the ordinance of December 1, 1986;</w:t>
      </w:r>
    </w:p>
    <w:p>
      <w:r>
        <w:t>Considering furthermore that if the company Cibomat alleges that Comprenor Industrie enjoyed full industrial and commercial independence, it does not establish that the director of the establishment, an employee of Cibomat, was free from the directives and controls of the company to which he was subordinate; that it is also not established that true autonomy regarding the allocation of its results was granted to this establishment; that consequently, one cannot infer from the existence of the two establishments any effect regarding the responsibility under competition law of the company Cibomat, which owned these two establishments at the time of the facts;</w:t>
      </w:r>
    </w:p>
    <w:p>
      <w:r>
        <w:t>Considering, moreover, that if the company Cibomat invokes the transfer to the company B.S.L. on December 23, 1994, of its manufacturing activities carried out under the name Comprenor Industrie, it should be noted that the company Cibomat, responsible for the practices observed in 1991, continues to exist to this day; that it is therefore rightly that the alleged practices have been attributed to it;</w:t>
      </w:r>
    </w:p>
    <w:p>
      <w:r>
        <w:t>On the procedure:</w:t>
      </w:r>
    </w:p>
    <w:p>
      <w:r>
        <w:t>Considering that according to the first paragraph of Article 45 of the ordinance of December 1, 1986: 'Officials authorized for this purpose by the minister responsible for the economy may carry out the necessary investigations for the application of this ordinance'; that pursuant to Article 46 of the same ordinance: 'The investigations result in the establishment of reports and, where appropriate, of statements. The reports are transmitted to the competent authority. A copy is left with the interested parties. They are valid until proven otherwise'; that finally, according to Article 31 of the decree of December 29, 1986: 'The reports provided for in Article 46 of the ordinance are drafted as soon as possible. They state the nature, date, and place of the findings or controls carried out. They are signed by the investigator and the person concerned by the investigations. In case of refusal by the latter, this is noted in the report';</w:t>
      </w:r>
    </w:p>
    <w:p>
      <w:r>
        <w:t>Considering, firstly, that the formal rules of the reports as provided for by Article 31 of the decree of December 29, 1986 do not require mentioning the identity of the administrative service to which the investigating officer is attached; that the territorial competence of the investigator is based solely on the ministerial authorization provided for by Article 45 of the ordinance of December 1, 1986; that this, which is not contested, could be verified by the company that was aware of both the identity of the agents and their administrative residences which were noted in the contested reports; that this argument is therefore unfounded;</w:t>
      </w:r>
    </w:p>
    <w:p>
      <w:r>
        <w:t>Considering, secondly, that no provision of the ordinance of December 1, 1986 or the decree of December 29, 1986 requires that the procedural rules under which the control is carried out be indicated in the report; that the argument based on the absence of mention of said rules is therefore unfounded;</w:t>
      </w:r>
    </w:p>
    <w:p>
      <w:r>
        <w:t>Considering, thirdly, that the proof that the investigators clearly informed the interviewed persons of the subject of their investigation can be established by the mention, valid until proven otherwise, that the control agents informed the interested party of this subject, without the need to describe this subject; that in the absence of a reference to the ordinance of December 1, as well as mention of the subject or at least an indication that it was brought to the attention of the interviewed persons, the control of the regularity of the investigations focuses on the content of the acts; that for this purpose, it must be verified, by examining the statements, that the reporting officer did not leave the interviewed person unaware of the subject of the control or did not mislead them about its content;</w:t>
      </w:r>
    </w:p>
    <w:p>
      <w:r>
        <w:t>Considering that the report of document communication dated October 8, 1992 from Mr. Pernot (company Tubagglo, piece 395), does not bear a reference to the ordinance of December 1, 1986 nor mention the subject of the control or that it was indicated, but follows a previous act of June 24, 1992 (piece 313) bearing the mention: 'We hear Mr. Pernot... in the context of a competition investigation regarding construction materials (concrete products)', thus Mr. Pernot had been precisely informed of the subject of the investigation during a previous inquiry conducted in the same context;</w:t>
      </w:r>
    </w:p>
    <w:p>
      <w:r>
        <w:t>Considering that the report of declaration dated November 4, 1992 from Mr. Sturm (company Tubagglo, piece 589) does not bear a reference to the ordinance of December 1, 1986, nor mention the subject of the control or that it was indicated, but contains the following declaration: 'Confirms the statements of Mr. Pernot (Georges), production manager, statements made by reports of June 24 and October 8, 1992', which establishes that Mr. Sturm was aware of the content of these acts and, consequently, of the subject of the investigation;</w:t>
      </w:r>
    </w:p>
    <w:p>
      <w:r>
        <w:t>Considering that the report of document communication dated October 8, 1992 from Mr. Duffet (company Cibomat Point P, piece 467) does not bear a reference to the ordinance of December 1, 1986, nor mention the subject of the control or that it was indicated, but follows a previous act (piece 455) bearing the following mention: 'We intervene... in the context of an investigation regarding competition in the concrete products sector'; thus Mr. Duffet had indeed been previously informed of the subject of the investigation;</w:t>
      </w:r>
    </w:p>
    <w:p>
      <w:r>
        <w:t>Considering consequently that, regarding these different acts, the interviewed persons had been previously informed of the subject of the investigation; that therefore, contrary to what the parties argue, there is no need to withdraw these acts from the procedure;</w:t>
      </w:r>
    </w:p>
    <w:p>
      <w:r>
        <w:t>But considering that neither the report of declaration dated June 24, 1992 from Mr. Vieille (company Vieille, piece 398), nor the report of declaration dated June 26, 1992 from Mr. Ferrari (company Ferrari, piece 371), nor the report dated February 12, 1992 from Mr. Henriet (company SCAC Matériaux comtois, piece 581) mention either the subject of the control, nor that it was indicated and do not follow an act attesting to prior information of the declarants about the subject of the investigation; that consequently, only an examination of the content of these acts can ensure that Messrs. Vieille, Ferrari, and Henriet were aware of the subject of the investigation and were able to assess the significance of their statements;</w:t>
      </w:r>
    </w:p>
    <w:p>
      <w:r>
        <w:t>Considering that from the content of Mr. Henriet's report, it appears that he outlined the rates practiced by his company regarding unloading fees and the modalities by which the clientele was informed; that it is therefore not established, while moreover this investigative act does not bear the reference of the ordinance of December 1, 1986, that he was informed that the investigation concerned the competitive situation in the market for prefabricated concrete products;</w:t>
      </w:r>
    </w:p>
    <w:p>
      <w:r>
        <w:t>Considering that from the statements recorded in Mr. Vieille's report, it appears that after describing the overall activity of his company, he outlined the sales conditions of concrete products and then the amounts and modalities for establishing a pricing for unloading fees; that it is therefore not established, while moreover this investigative act does not bear the reference of the ordinance of December 1, 1986, that he was informed that the investigation concerned the competitive situation in the market for prefabricated concrete products;</w:t>
      </w:r>
    </w:p>
    <w:p>
      <w:r>
        <w:t>Considering that the examination of Mr. Ferrari's report shows that after describing the composition of his company's shareholding, and then its activity, he outlined the amounts and modalities for establishing a pricing for unloading fees; that it is therefore not established, while moreover this investigative act does not bear the reference of the ordinance of December 1, 1986, that he was informed that the investigation concerned the competitive situation in the market for prefabricated concrete products;</w:t>
      </w:r>
    </w:p>
    <w:p>
      <w:r>
        <w:t>Considering that it follows from the above that the reports of declaration from Mr. Vieille dated June 24, 1992, from Mr. Ferrari dated June 26, 1992, and from Mr. Henriet dated February 12, 1992 were established irregularly and must be excluded from the procedure;</w:t>
      </w:r>
    </w:p>
    <w:p>
      <w:r>
        <w:t>Considering, however, that the documents remaining in the file, and notably the reports to which are attached the circulars by which the companies Vieille, Tubagglo, and Cibomat announced the establishment of unloading fees, allow for the examination of the notified grievances;</w:t>
      </w:r>
    </w:p>
    <w:p>
      <w:r>
        <w:t>On the observed practices:</w:t>
      </w:r>
    </w:p>
    <w:p>
      <w:r>
        <w:t>On the establishment of unloading fees for prefabricated concrete products by certain manufacturers:</w:t>
      </w:r>
    </w:p>
    <w:p>
      <w:r>
        <w:t>Considering that by commercial circular letters dated between August 16 and 23, 1991, the companies Tubagglo, Cibomat, and Vieille announced the establishment of unloading fees for certain prefabricated concrete products, effective from September 1, 1991; that the rates of these three companies set for this purpose were identical in their amounts and effective dates; that finally, the parties acknowledge having transmitted these circulars to their clients, among whom were their competitors;</w:t>
      </w:r>
    </w:p>
    <w:p>
      <w:r>
        <w:t>Considering that the observation of parallel behavior alone is not sufficient to demonstrate the existence of an anticompetitive agreement insofar as this parallelism may result from decisions made by companies that autonomously adapt to the market context; that it is necessary, to establish the existence of such an agreement, to provide elements other than the mere observation of parallel behavior, so that a body of serious, precise, and consistent evidence is constituted;</w:t>
      </w:r>
    </w:p>
    <w:p>
      <w:r>
        <w:rPr>
          <w:b/>
        </w:rPr>
        <w:t>[Pages 7–8]</w:t>
      </w:r>
    </w:p>
    <w:p>
      <w:r>
        <w:t>Considering that the company Tubagglo claims that it was the first to announce to all its clients, on August 16, 1991, the introduction of unloading fees; that the dissemination of a commercial circular to its competitors results from the fact that they purchase certain products from it and are consequently registered in its client files; that finally it justifies the pricing applied by a cost calculation; that the company Vieille argues that the geographical dimension of the market and the small number of operators favored the transparency of commercial relations and that this explains, in addition to the fact that it is also a customer of its competitors, the choice of a 'competitive alignment' on the price levels proposed by them; that the company Cibomat observes that it simply aligned its behavior with that of the company Tubagglo, which is both one of its suppliers and one of its competitors;</w:t>
      </w:r>
    </w:p>
    <w:p>
      <w:r>
        <w:t>Considering that it is established that the company Tubagglo, having decided to restore the pricing of unloading fees for certain concrete products it manufactures, informed its clients through its representatives as early as the beginning of summer 1991; that it was the first, on August 16, 1991, to disseminate by circular letter to its clientele the prices of the unloading services it would apply to these products starting from September 1, 1991; that the company Vieille, by a circular letter dated August 19, 1991, and then the company Cibomat, by a circular letter dated August 20, 1991, informed their clientele of the introduction of unloading fees;</w:t>
      </w:r>
    </w:p>
    <w:p>
      <w:r>
        <w:t>Considering, furthermore, that the concrete manufacturers in question, also sourcing certain products from their competitors, may have received the circular letters sent by each of them to their entire clientele;</w:t>
      </w:r>
    </w:p>
    <w:p>
      <w:r>
        <w:t>Considering that it is therefore not demonstrated, in the absence of any other indication allowing to conclude to the existence of a concerted action, that the identity of the prices and the dates of application of the unloading fees decided and announced by the companies Vieille and Cibomat do not result from a simple alignment; that it is consequently not established that the simultaneous introduction by the companies Tubagglo, Vieille, and Cibomat of a pricing for unloading fees results from a practice prohibited by the provisions of Article 7 of the ordinance of December 1, 1986;</w:t>
      </w:r>
    </w:p>
    <w:p>
      <w:r>
        <w:t>On the introduction of unloading fees for prefabricated concrete products by certain traders:</w:t>
      </w:r>
    </w:p>
    <w:p>
      <w:r>
        <w:t>Considering that the companies Creuze and Bouvet-Ponsar established during the month of September 1991 a pricing for unloading fees for prefabricated concrete products; that the rates of the company Bouvet-Ponsar are identical to those of the manufacturers (12 F per pallet and 500 F for placing beams on the edge); that the company Creuze differentiated its rates according to the quality of its clients, as it charged 13 F for unloading fees for pallets to individuals;</w:t>
      </w:r>
    </w:p>
    <w:p>
      <w:r>
        <w:t>Considering that the company Bouvet-Ponsar observes that it is simply reproached for not having followed an autonomous commercial policy, whereas it has only one supplier, the company Vieille; that on the other hand, it indicates that it has only passed on a price modification imposed by its supplier for deliveries made directly by it, without applying it to its own;</w:t>
      </w:r>
    </w:p>
    <w:p>
      <w:r>
        <w:t>Considering that according to the statements of the manager of the company Creuze, he 'turned to other suppliers (Tubagglo and Point P)', but having found that 'the latter had introduced this form of increase at an identical price and continued to offer purchase prices for aggregates higher than Vieille', would have 'continued [his] relations with the company Vieille';</w:t>
      </w:r>
    </w:p>
    <w:p>
      <w:r>
        <w:t>Considering that the mere passing on of a price increase from its suppliers is not in itself constitutive of a prohibited agreement; that moreover, the fact that deliveries are often made directly by the manufacturers to the clients of the traders contributed to the automaticity of the passing on;</w:t>
      </w:r>
    </w:p>
    <w:p>
      <w:r>
        <w:t>Considering on the one hand, that it is not established that the company Bouvet-Ponsar had other suppliers than the company Vieille which directly delivered nearly 95% of its clients; that on the other hand, it is established that the company Creuze, after its usual supplier announced the introduction of unloading fees, tried to stimulate competition by consulting other producers; that the circumstance that the latter practiced the same increase as the company Vieille and that, in the absence of alternatives, the company Creuze retained the same supplier by passing on the price increase applied to it cannot suffice to establish that it would have conspired with him;</w:t>
      </w:r>
    </w:p>
    <w:p>
      <w:r>
        <w:t>Considering that it is therefore not established, in the absence of any other indication allowing to conclude to the existence of a concerted action, that the passing on by the companies Bouvet-Ponsar and Creuze of the unloading fees established by their suppliers results from a practice prohibited by the provisions of Article 7 of the ordinance of December 1, 1986,</w:t>
      </w:r>
    </w:p>
    <w:p>
      <w:r>
        <w:t>Decides:</w:t>
      </w:r>
    </w:p>
    <w:p>
      <w:r>
        <w:t>Unique Article. - It is not established that the companies Tubagglo, Cibomat, Ferrari, Vieille, Bouvet-Ponsar, and Creuze have violated the provisions of Article 7 of the ordinance of December 1, 1986.</w:t>
      </w:r>
    </w:p>
    <w:p>
      <w:r>
        <w:t>Deliberated on the report of Mr. Guérin, by Mr. Barbeau, president, Cortesse and Jenny, vice-presidents, Mr. Blaise, Gicquel, Marleix, Robin, Rocca, Sargos, Sloan, and Thiolon, members.</w:t>
      </w:r>
    </w:p>
    <w:p>
      <w:r>
        <w:t>The general rapporteur, The president,</w:t>
      </w:r>
    </w:p>
    <w:p>
      <w: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