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https://www.autoritedelaconcurrence.fr/fr/decision/relative-des-saisines-et-des-demandes-de-mesures-conservatoires-presentees-par-les</w:t>
      </w:r>
    </w:p>
    <w:p>
      <w:r>
        <w:t>Pages translated : 4</w:t>
      </w:r>
    </w:p>
    <w:p/>
    <w:p>
      <w:r>
        <w:rPr>
          <w:b/>
        </w:rPr>
        <w:t>[Pages 1–3]</w:t>
      </w:r>
    </w:p>
    <w:p>
      <w:r>
        <w:t xml:space="preserve">FRENCH REPUBLIC  </w:t>
        <w:br/>
        <w:t xml:space="preserve">Decision No. 95-D-06 of January 11, 1995  </w:t>
        <w:br/>
        <w:t xml:space="preserve">regarding referrals and requests for interim measures submitted by the companies  </w:t>
        <w:br/>
        <w:t xml:space="preserve">Espace Discothèque, Le Pacha Club, Métropolis, Opéra-Défense, Etoile-Foch, Le Krystal,  </w:t>
        <w:br/>
        <w:t xml:space="preserve">Espace-Loisirs, Pym's, in Tours and Nantes, l'Hexagone, Le Capricorne, and La Charmille  </w:t>
        <w:br/>
        <w:t xml:space="preserve">The Competition Council (permanent commission),  </w:t>
        <w:br/>
        <w:t xml:space="preserve">Having regard to the letter registered on November 7, 1994, under numbers F 708 and M 137, the letters registered on November 10, 1994, under numbers F 711 to F 714 and M 139 to M 142, the letters registered on November 17, 18, 21, and 22 under numbers F 716 to F 721 and M 143 to M 148, and the letter registered on December 5, 1994, under numbers F 726 and M 150, by which the companies Espace Discothèque, Le Pacha Club, Métropolis, Opéra-Défense, Etoile-Foch, Le Krystal, Espace-Loisirs, Pym's in Tours, Pym's in Nantes, l'Hexagone, Le Capricorne, and La Charmille referred to the Competition Council regarding practices implemented by the civil society for the collection of equitable remuneration for the public communication of commercial phonograms, known as S.P.R.E., which they believe constitute an abuse of a dominant position and requested the issuance of interim measures;  </w:t>
        <w:br/>
        <w:t xml:space="preserve">Having regard to Ordinance No. 86-1243 of December 1, 1986, as amended, concerning price freedom and competition and Decree No. 86-1309 of December 29, 1986, as amended, taken for its application;  </w:t>
        <w:br/>
        <w:t xml:space="preserve">Having regard to the Treaty of March 25, 1957 establishing the European Community, as amended, and in particular Articles 85 and 86;  </w:t>
        <w:br/>
        <w:t xml:space="preserve">Having regard to the Rome Convention of October 26, 1961 on the protection of performers, producers of phonograms, and broadcasting organizations and Decree No. 88-234 of March 9, 1988 publishing it;  </w:t>
        <w:br/>
        <w:t xml:space="preserve">Having regard to the Intellectual Property Code;  </w:t>
        <w:br/>
        <w:t xml:space="preserve">Having regard to the observations presented by S.P.R.E. and by the Government Commissioner;  </w:t>
        <w:br/>
        <w:t xml:space="preserve">Having regard to the other documents in the file;  </w:t>
        <w:br/>
        <w:t xml:space="preserve">The rapporteur, the general rapporteur, the Government Commissioner, and the representatives of the referring companies and S.P.R.E. heard;  </w:t>
        <w:br/>
        <w:t>Considering that the twelve companies that referred to the council against S.P.R.E. all engage in the same discotheque activity and that they all present the same requests on the merits and for interim measures as well as the same arguments; it is therefore appropriate to join these requests to rule on them by a single decision;</w:t>
      </w:r>
    </w:p>
    <w:p>
      <w:r>
        <w:t xml:space="preserve">On the merits:  </w:t>
        <w:br/>
        <w:t xml:space="preserve">Considering that the application of the provisions of Article 12 of the Ordinance of December 1, 1986, is subject to the finding of behaviors that appear likely to fall within the scope of Articles 7 or 8 of the same ordinance, which should be terminated without delay to cease a serious and immediate disturbance, and that under the terms of Article 19 of the same ordinance, the Competition Council may declare, by a reasoned decision, the referral inadmissible if it considers that the alleged facts do not fall within its jurisdiction or are not supported by sufficiently probative elements;  </w:t>
        <w:br/>
        <w:t xml:space="preserve">Considering that the applicants argue that S.P.R.E., whose purpose is to collect and manage the rights to equitable remuneration owed to performers and producers of phonograms in the context of the public dissemination of phonograms published for commercial purposes, or "neighboring rights," abuses the dominant position it holds in the market for the collection of these rights from, in particular, discotheques and leisure venues, by practicing discrimination in the application of the royalty rate based on the union affiliations of the latter, by only pursuing the collection of debts from discotheques that are members of their union, B.E.M.I.M. A.F.E.D.D. (European Bureau of Media of the Music Industry and French Association of Discotheque and Dancing Operators), by continuing to apply the scale set for five years by the decision dated September 9, 1987, of the administrative commission provided for in Article L. 214-4 of the Intellectual Property Code, which is responsible for setting the scale and the terms of payment of neighboring rights in the absence of an agreement between the parties, by making objections on the sale prices of discotheques based on the benefit of the privilege provided for in Article L. 131-8 of the Intellectual Property Code, whereas the latter would only apply to copyright, as well as by producing to the agents of these sales falsified documents likely to mislead them, by collecting without mandate the equitable remuneration due to all French and foreign rights holders of the musical repertoire and by prohibiting other companies, holders of the right to remuneration of French or foreign performers, but which are not part of its associates, from collecting their share of remuneration; that according to the referring parties, these practices constitute violations of Articles 7 and 8 of the Ordinance of December 1, 1986, of Article 86 of the Rome Treaty as well as international provisions on the protection of neighboring rights; that they further argue that the fact that their union, B.E.M.I.M. A.F.E.D.D., is not represented within the administrative commission of Article L. 214-4 is a manifestation of the abusive dominant position practices of S.P.R.E.;  </w:t>
        <w:br/>
        <w:t xml:space="preserve">Considering, firstly, that S.P.R.E. is the only collection and distribution society for the equitable remuneration of performers and producers of phonograms in France and therefore benefits from a dominant position in the French market for the collection of neighboring rights from discotheques;  </w:t>
        <w:br/>
        <w:t xml:space="preserve">Considering, secondly, that Article L. 214-4, paragraph 2, of the Intellectual Property Code states that: "The organizations called to designate the members of the commission and the number of persons that each is called to designate are determined by order of the minister responsible for culture"; that, therefore, the lack of designation criticized by the applicants arises from a regulatory act whose legality assessment does not fall within the jurisdiction of the Competition Council; that moreover, the applicants do not produce any evidence likely to suggest that B.E.M.I.M. A.F.E.D.D. was excluded from the commission as a result of exclusionary maneuvers conducted by S.P.R.E.;  </w:t>
        <w:br/>
        <w:t xml:space="preserve">Considering, thirdly, that the interpretation of Article L. 131-8 of the Intellectual Property Code, particularly regarding its application to neighboring rights, as well as the potential sanction for the production by S.P.R.E. of a document likely to mislead the agent responsible for receiving objections on the sale price of a business, fall under the exclusive jurisdiction of the judicial judge in the context of disputes related to privileges on claims that may be submitted to them;  </w:t>
        <w:br/>
        <w:t xml:space="preserve">Considering, fourthly, that the documents in the file demonstrate that agreements have been made between S.P.R.E. and various professional organizations in the sector, under which the latter grants advantages consisting of reductions in the basis in exchange for the fulfillment of clearly defined obligations, consisting of the payment of royalties on time, the production of documents allowing the establishment of the basis for the royalty, the provision of statistics and surveys on the programs broadcast, and the dissemination of live music; that these counter-performances allow S.P.R.E. to guarantee the regularity of payments, to protect itself against the risks of fraud, to reduce its control and collection costs, and to ensure its mission of encouraging the development of live music; that these agreements, identical for all signatory professional organizations, were also proposed to B.E.M.I.M. A.F.E.D.D., whose president refused to subscribe to them by letters dated September 5, 1988, and February 23, 1989; that, on the one hand, S.P.R.E., by providing a certain number of invoices, establishes that despite this refusal, it applies the reductions to the discotheques that are members of B.E.M.I.M. A.F.E.D.D. as long as they fulfill the obligations set in exchange for these advantages and that, on the other hand, the referring companies do not claim or establish that these same advantages would have been denied to them even though they would have proposed to fulfill the counter-performances; that the applicants thus do not provide any sufficiently probative evidence to demonstrate that advantages would be granted by S.P.R.E. in a discriminatory manner based on the union memberships of the discotheques;  </w:t>
        <w:br/>
        <w:t xml:space="preserve">Considering, fifthly, that the referring companies also do not provide any sufficiently probative evidence to support their allegation that only discotheques that are members of B.E.M.I.M. A.F.E.D.D. or those that support this union in its conflicts with S.P.R.E. would be pursued by the latter for the collection of unpaid neighboring rights;  </w:t>
        <w:br/>
        <w:t xml:space="preserve">Considering, sixthly, that the referring parties contest, based on the provisions of Article L. 214-3 of the Intellectual Property Code, that the decision made by the commission ruling in the absence of an agreement between the parties on the setting of the neighboring rights royalty rate can apply beyond five years; that it does not fall to the Competition Council to rule on the interpretation of the provisions of the Intellectual Property Code nor on those of the decision of said commission, which constitutes a regulatory act;  </w:t>
        <w:br/>
        <w:t>Considering, seventhly, that Article L. 214-5 of the Intellectual Property Code states that: "Equitable remuneration is collected on behalf of the rights holders and distributed among them by one or more organizations mentioned in Title II of Book III"; that S.P.R.E. being the only company in France established in accordance with these provisions, the fact...</w:t>
      </w:r>
    </w:p>
    <w:p>
      <w:r>
        <w:rPr>
          <w:b/>
        </w:rPr>
        <w:t>[Pages 4–4]</w:t>
      </w:r>
    </w:p>
    <w:p>
      <w:r>
        <w:t>that its collection of equitable remuneration without direct mandate from the rights holders cannot, in itself, be analyzed as an abuse of its dominant position; that furthermore, in the absence of other elements, the de facto monopoly it holds in the national territory does not allow for the conclusion that it would prevent other companies from being established, from engaging in the same activity, or from asserting the rights for which they would be representatives; that finally, the applicant companies provide no evidence to support their allegation that S.P.R.E. is abusing its dominant position by 'appropriating the remuneration due to foreign performing artists and producers of phonograms covered by international agreements'; that indeed, no evidence has been submitted to the file allowing for the consideration that this company does not apply the provisions concerning the collection and distribution of equitable remuneration for neighboring rights as set forth in Articles L. 214-1, paragraph 3, and L. 214-2 of the Intellectual Property Code; Considering that it follows from the above that the referrals on the merits are inadmissible and that, consequently, the requests for precautionary measures can only be rejected, Decides: Art. 1. - The referrals registered under numbers F 708, F 711 to F 714, F 716 to F 721 and F 726 are declared inadmissible. Art. 2. - The requests for precautionary measures registered under numbers M 137, M 139 to M 142, M 143 to M 148 and M 150 are rejected. Deliberated, on the oral report of Ms. Valérie Michel, by Messrs. Barbeau, president, Cortesse and Jenny, vice-presidents. The substitute general rapporteur, The president, Marie Picard Charles Barbeau ©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