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https://www.autoritedelaconcurrence.fr/fr/decision/relative-deux-saisines-presentees-par-m-eric-berger-au-nom-de-la-societe-pompes-funebres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96-D-55 of September 24, 1996  </w:t>
        <w:br/>
        <w:t xml:space="preserve">concerning two referrals submitted by Mr. Eric Berger on behalf of the company  </w:t>
        <w:br/>
        <w:t xml:space="preserve">Pompes funèbres de France regarding practices implemented  </w:t>
        <w:br/>
        <w:t xml:space="preserve">by the company Pompes funèbres Rey  </w:t>
        <w:br/>
        <w:t xml:space="preserve">The Competition Council (permanent commission),  </w:t>
        <w:br/>
        <w:t xml:space="preserve">Having regard to the letters registered on April 18, 1995, and May 15, 1995, under numbers F 756 and  </w:t>
        <w:br/>
        <w:t xml:space="preserve">F 764, by which Mr. Eric Berger, on behalf of the company Pompes Funèbres de France, referred  </w:t>
        <w:br/>
        <w:t xml:space="preserve">the Competition Council to the practices implemented by the company Pompes  </w:t>
        <w:br/>
        <w:t xml:space="preserve">Funèbres Rey;  </w:t>
        <w:br/>
        <w:t xml:space="preserve">Having regard to Ordinance No. 86-1243 of December 1, 1986, as amended, relating to the freedom of prices and  </w:t>
        <w:br/>
        <w:t xml:space="preserve">competition, and Decree No. 86-1309 of December 29, 1986, as amended, adopted for its  </w:t>
        <w:br/>
        <w:t xml:space="preserve">application;  </w:t>
        <w:br/>
        <w:t xml:space="preserve">The rapporteur, the general rapporteur, and the Government Commissioner heard;  </w:t>
        <w:br/>
        <w:t xml:space="preserve">Considering that it is appropriate to join the two referrals, which originate from the same author and  </w:t>
        <w:br/>
        <w:t xml:space="preserve">concern the same facts;  </w:t>
        <w:br/>
        <w:t xml:space="preserve">Considering that Mr. Eric Berger, a merchant in Cavaillon operating in the funeral services sector, states that,  </w:t>
        <w:br/>
        <w:t xml:space="preserve">having been established in this city since November 1, 1994, he is a victim of anti-competitive practices  </w:t>
        <w:br/>
        <w:t xml:space="preserve">by the company Pompes Funèbres Rey, which held the monopoly on the internal service of the city of Cavaillon  </w:t>
        <w:br/>
        <w:t xml:space="preserve">until its establishment; that he indicates to illustrate the practices denounced that the Rey company charges  </w:t>
        <w:br/>
        <w:t xml:space="preserve">“utopian” loss-making rates; that he also calls into question the actions of a care facility that would refuse  </w:t>
        <w:br/>
        <w:t xml:space="preserve">to provide names other than that of the Rey company to the families of deceased persons;  </w:t>
        <w:br/>
        <w:t xml:space="preserve">Considering that under Article 19 of the ordinance of December 1, 1986: “The Competition Council may declare,  </w:t>
        <w:br/>
        <w:t xml:space="preserve">by reasoned decision, the referral inadmissible if it considers that the facts invoked do not fall within its  </w:t>
        <w:br/>
        <w:t xml:space="preserve">jurisdiction or are not supported by sufficiently probative elements”;  </w:t>
        <w:br/>
        <w:t xml:space="preserve">Considering that Mr. Eric Berger, by merely denouncing the “totally utopian” rates of the company Pompes  </w:t>
        <w:br/>
        <w:t xml:space="preserve">Funèbres Rey and the pressures exerted on families and by producing in support of his allegations only an article  </w:t>
        <w:br/>
        <w:t xml:space="preserve">from a daily newspaper relating to practices contrary to health regulations as well as a letter, addressed on  </w:t>
        <w:br/>
        <w:t xml:space="preserve">July 20, 1996, by the professional union of which he is a member to the Prefect of Vaucluse, which is not  </w:t>
        <w:br/>
        <w:t xml:space="preserve">accompanied by any beginning of proof, does not provide any sufficiently probative element that would establish  </w:t>
        <w:br/>
        <w:t xml:space="preserve">that these practices result from an agreement or an abuse of a dominant position falling within the scope of  </w:t>
        <w:br/>
        <w:t xml:space="preserve">Articles 7 or 8 of the ordinance of December 1, 1986;  </w:t>
        <w:br/>
        <w:t xml:space="preserve">Considering that it follows from the above that it is appropriate to apply the provisions of Article 19 of the  </w:t>
        <w:br/>
        <w:t xml:space="preserve">ordinance of December 1, 1986,  </w:t>
        <w:br/>
        <w:t xml:space="preserve">decides:  </w:t>
        <w:br/>
        <w:t xml:space="preserve">Sole Article. - The referrals registered under numbers F 756 and F 764 are declared inadmissible.  </w:t>
        <w:br/>
        <w:t xml:space="preserve">Deliberated on the oral report of Ms. Carole Champalaune by Mr. Barbeau, president,  </w:t>
        <w:br/>
        <w:t xml:space="preserve">Messrs. Cortesse and Jenny, vice-presidents.  </w:t>
        <w:br/>
        <w:t xml:space="preserve">The general rapporteur, The president,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