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https://www.autoritedelaconcurrence.fr/fr/decision-de-controle-des-concentrations/relative-fusion-par-absorption-de-la-societe-sicavyl-par-la</w:t>
      </w:r>
    </w:p>
    <w:p>
      <w:r>
        <w:t>Pages translated : 14</w:t>
      </w:r>
    </w:p>
    <w:p/>
    <w:p>
      <w:r>
        <w:rPr>
          <w:b/>
        </w:rPr>
        <w:t>[Pages 1–3]</w:t>
      </w:r>
    </w:p>
    <w:p>
      <w:r>
        <w:t xml:space="preserve">FRENCH REPUBLIC  </w:t>
        <w:br/>
        <w:t xml:space="preserve">Decision No. 16-DCC-208 of December 9, 2016  </w:t>
        <w:br/>
        <w:t>regarding the merger by absorption of the company Sicavyl by the company Sicarev</w:t>
      </w:r>
    </w:p>
    <w:p>
      <w:r>
        <w:t xml:space="preserve">The Competition Authority,  </w:t>
        <w:br/>
        <w:t xml:space="preserve">Having regard to the notification file submitted in full to the concentrations service on November 4, 2016, regarding the merger by absorption of the company Sicavyl by the company Sicarev, formalized by a draft merger agreement adopted by the boards of directors of Sicavyl on October 17, 2016, and of Sicarev on October 25, 2016;  </w:t>
        <w:br/>
        <w:t xml:space="preserve">Having regard to Book IV of the Commercial Code relating to the freedom of prices and competition, and in particular its Articles L. 430-1 to L. 430-7;  </w:t>
        <w:br/>
        <w:t xml:space="preserve">Having regard to the commitments presented on December 1, 2016;  </w:t>
        <w:br/>
        <w:t xml:space="preserve">Having regard to the additional elements transmitted by the parties during the investigation;  </w:t>
        <w:br/>
        <w:t>Adopts the following decision:</w:t>
      </w:r>
    </w:p>
    <w:p>
      <w:r>
        <w:t xml:space="preserve">I. The concerned companies and the operation  </w:t>
        <w:br/>
        <w:t xml:space="preserve">1. Sicarev is a cooperative society of collective agricultural interest (hereinafter, "SICA") active in the meat sector, from upstream to downstream, in the regions of Auvergne-Rhône-Alpes, Nouvelle Aquitaine, Centre-Val de Loire, Bourgogne-Franche-Comté, and Grand-Est. Sicarev engages in the collection, grouping, reception, and slaughter of cattle and pigs, and the sale of meat and by-products from slaughter. The capital of Sicarev is held by five agricultural cooperatives (Actis Bovins, Charolais Horizon, Covido-Bovicoop, Dauphidrom, and CEBM1), none of which exercises, alone or jointly, control over the company. Sicarev controls five companies engaged in various activities of breeding, trading of animals, slaughtering, and selling fresh or processed meat. It exercises joint control, alongside Sicavyl, over the company TVE Logistique active in refrigerated road transport and logistics2.  </w:t>
        <w:br/>
        <w:t xml:space="preserve">2. Sicavyl is a SICA active in the meat sector, from upstream to downstream, in the regions of Bourgogne-Franche-Comté, Grand-Est, and Centre-Val de Loire. Sicavyl engages in the collection, slaughtering, cutting, and sale of fresh beef and sheep meat as well as processed products. The capital of Sicavyl is held by several agricultural cooperatives (Cialyn, Cecna, Cirhyo, Global), as well as by natural or legal persons, with no shareholder exercising, alone or jointly, control over the company. Sicavyl controls the company Charollais Viandes, which engages in the slaughtering and cutting of cattle. It also exercises joint control, alongside Sicarev, over the company TVE Logistique.  </w:t>
        <w:br/>
        <w:t xml:space="preserve">3. The notified operation is formalized by a draft merger agreement adopted by the boards of directors of Sicavyl on October 17, 2016, and of Sicarev on October 25, 2016. Following the operation, the main shareholders of the new entity named "Sicarev" will be Actis Bovins, Covido-Bovicoop, Charolais Horizon, Dauphidrom, CEBM, and Cialyn. None will hold, alone or jointly, control of Sicarev.  </w:t>
        <w:br/>
        <w:t xml:space="preserve">4. Insofar as it leads to the merger by absorption of Sicavyl by Sicarev, the notified operation constitutes a concentration within the meaning of Article L. 430-1 of the Commercial Code.  </w:t>
        <w:br/>
        <w:t>5. The concerned companies together achieve a total turnover excluding taxes on a global scale of more than 150 million euros (Sicarev: […] euros for the fiscal year ending December 31, 2015; Sicavyl: […] euros for the same fiscal year). Each of these companies has achieved a turnover in France exceeding 50 million euros (Sicarev: […] euros for the fiscal year ending December 31, 2015; Sicavyl: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simultaneously active at all stages of meat processing. The decisional practice3 has segmented the different stages of meat processing, which correspond to the cycle of treatment of animals and their meat. The first processing corresponds to the collection for slaughter of the animal, at the end of which carcasses and by-products are obtained and sold (A). The second processing includes the deboning and cutting of carcasses (B). The third processing consists of packaging meat ready to cook, intended for the final consumer (C). Finally, the fourth processing corresponds to the manufacture of processed products based on meat (D).  </w:t>
        <w:br/>
        <w:t xml:space="preserve">2 In the market for refrigerated road transport of goods, TVE's market share does not exceed [0-5]%, regardless of the segment considered.  </w:t>
        <w:br/>
        <w:t>3 See in particular the letter from the Minister of Economy, Industry and Employment dated February 17, 2009, to the board of the Bigard company, regarding a concentration in the meat sector, C2008-100, and the decisions of the Competition Authority No. 13-DCC-172 of November 28, 2013, regarding the merger by absorption of the Géo cooperative by the Cavac cooperative, No. 11-DCC-68 of May 26, 2011, regarding the exclusive control of the companies Poujol Frères and Poujol Froid by the company Arcadie Sud-Ouest, No. 10-DCC-31 of April 14, 2010, regarding the exclusive control of assets of the Bigard group by the company C2 Développement (Terrena group), No. 10-DCC-22 of March 8, 2010, regarding the exclusive control of the company Spanghero by the cooperative Lur Berri, and No. 16-DCC-178 of November 15, 2016, regarding the exclusive control of the companies Dufour Sisteron, Ovimpex, and Ovimpex Distribution by the cooperative Arterris.</w:t>
      </w:r>
    </w:p>
    <w:p>
      <w:r>
        <w:t xml:space="preserve">A. THE FIRST PROCESSING  </w:t>
        <w:br/>
        <w:t xml:space="preserve">7. The parties' first processing activities overlap in the markets for the collection of live animals for slaughter (1) and the markets for the commercialization of carcasses (2) and by-products (3).  </w:t>
        <w:br/>
        <w:t xml:space="preserve">1. THE COLLECTION OF LIVE ANIMALS FOR SLAUGHTER  </w:t>
        <w:br/>
        <w:t xml:space="preserve">a) Product Market  </w:t>
        <w:br/>
        <w:t xml:space="preserve">8. Consistently, national and European competition authorities4 consider that in the meat sector, there are as many distinct markets as there are species of animals slaughtered. Indeed, to account for the sizes and weights of animals that vary from one species to another, slaughterhouses are generally equipped with specific equipment. Furthermore, for certain species, a sub-segmentation has been considered in the presence of a quality label5. A segment of sheep under the label "Agneau de Sisteron" has thus recently been considered6.  </w:t>
        <w:br/>
        <w:t xml:space="preserve">9. In this case, the parties are simultaneously active in the collection of cattle7.  </w:t>
        <w:br/>
        <w:t xml:space="preserve">10. The national decisional practice8 first distinguished the collection of calves from that of other cattle. Within the category of other cattle, the decisional practice then segmented between "young cattle," uncastrated male animals under two years old, and "heavy cattle," taking into account the differences related to their purchase price, quality, and the final destination of their meat. Furthermore, heavy cattle are classified into five categories according to their conformation. These are categories E, U, R, O, and P. The conformations O and P mainly include cattle from the dairy herd9, while the conformations E, U, and R mainly include beef cattle. The decisional practice has thus operated a sub-segmentation according to the conformation of the animal, due to the differences in price, use, and final destination of the meat of dairy cattle on the one hand, and beef cattle on the other hand.  </w:t>
        <w:br/>
        <w:t xml:space="preserve">11. Regarding quality labels for beef cattle, the parties simultaneously collect cattle that fall under the following official quality and origin identification labels: red label "beef from Charolais breed," "organic farming," and controlled designation of origin (hereinafter, "AOC") "Boeuf de Charolles." Regarding this last quality label, the investigation showed that cattle under the AOC "Boeuf de Charolles," which values high-end cattle raised in "the historical cradle of the Charolais breed," must be distinguished. Indeed, to slaughter cattle under the AOC "Boeuf de Charolles," a slaughterhouse must have an approval certifying its capacity to slaughter cattle according to the requirements of  </w:t>
        <w:br/>
        <w:t xml:space="preserve">4 See in particular the decision of the European Commission IV/M.1313 Danish Crown/Vestjyske Slagterier of March 9, 1999 and the aforementioned decision No. 13-DCC-172.  </w:t>
        <w:br/>
        <w:t xml:space="preserve">5 See in particular the decisions of the Competition Authority No. 16-DCC-33 of February 24, 2016, regarding the acquisition by LDC Volaille of the slaughtering, marketing, and transport assets of the Agrial group, and No. 16-DCC-178 of November 15, 2016, regarding the exclusive control of the companies Dufour Sisteron, Ovimpex, and Ovimpex Distribution by the cooperative Arterris.  </w:t>
        <w:br/>
        <w:t xml:space="preserve">6 See the aforementioned decision No. 16-DCC-178.  </w:t>
        <w:br/>
        <w:t xml:space="preserve">7 The parties are simultaneously active to a marginal extent in the markets for the collection of pigs. However, in the areas within 200 kilometers around the slaughterhouses of Lapalisse and Fleury-les-Aubrais operated by Sicarev and the slaughterhouse of Corbigny operated by Sicavyl, the increment is less than [0-5] points. Furthermore, Sicavyl's activity in the collection for the slaughter of pigs, which represented […] pigs collected in 2015 against […] by Sicarev, tends to become increasingly marginal.  </w:t>
        <w:br/>
        <w:t xml:space="preserve">8 See in particular the aforementioned letter C2008-100 as well as the decisions No. 13-DCC-172, No. 11-DCC-68, and No. 10-DCC-22 mentioned above.  </w:t>
        <w:br/>
        <w:t>9 Dairy cows are intended for milk production. At the end of their life, they are generally fattened and sent to slaughter. They are commonly referred to as "cull cows."</w:t>
      </w:r>
    </w:p>
    <w:p>
      <w:r>
        <w:rPr>
          <w:b/>
        </w:rPr>
        <w:t>[Pages 4–6]</w:t>
      </w:r>
    </w:p>
    <w:p>
      <w:r>
        <w:t>the AOC, and be located within the geographical area of the AOC10. On the supply side, the breeders of cattle under the AOC "Bœuf de Charolles" are subject to a strict specification (breeding in the delimited geographical area of the AOC, use of pastureland, feeding constraints, etc.), so that the breeding of these cattle has characteristics that are unique to it. Furthermore, the purchase price of an AOC "Bœuf de Charolles" cattle is higher than that of other cattle, including those under other official quality and origin identification labels11.</w:t>
      </w:r>
    </w:p>
    <w:p>
      <w:r>
        <w:t>12. However, there is no need to decide on the exact delineation of the markets in this case, as the conclusions of the competitive analysis, taking into account the commitments submitted by the parties, remain unchanged regardless of the segmentation considered.</w:t>
      </w:r>
    </w:p>
    <w:p>
      <w:r>
        <w:t>b) Geographic Market</w:t>
      </w:r>
    </w:p>
    <w:p>
      <w:r>
        <w:t>13. The decisional practice considers that the markets for the collection of cattle for slaughter have a local dimension due in particular to specific constraints on long-distance transport and quality considerations. Breeders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business opportunities. Given the existence of supply basins that vary in size depending on the size of the slaughterhouse, the competitive analysis is conducted over collection areas of 100 to 150 kilometers around the slaughterhouses, representing approximately 80% of the supply, and up to 300 kilometers to account for the remaining supply12.</w:t>
      </w:r>
    </w:p>
    <w:p>
      <w:r>
        <w:t>14. The behavior of collection operators in a given area can nevertheless be assessed in this case with data relating to the actual location of the collected cattle. In retail, the catchment area of a point of sale can thus be limited to that which encompasses customers representing 80% of the point of sale's turnover or 80% of the customers of said point of sale, depending on the available data. The remainder is considered as occasional and insignificant clientele13. This methodology, which has also recently been applied to the market for the collection of sheep for slaughter14, can be used in this case to determine the actual collection areas of the cattle from the parties' slaughterhouses. In this case, the competitive analysis has therefore been conducted in these so-called "real footprint" areas of the parties' slaughterhouses, as well as in areas with a radius of 300 kilometers around these slaughterhouses.</w:t>
      </w:r>
    </w:p>
    <w:p>
      <w:r>
        <w:t>15. Regarding the collection of cattle under the AOC "Bœuf de Charolles" for slaughter, the geographic market corresponds to an area, established by decree, comprising several dozen municipalities located in the departments of Saône-et-Loire (71), Loire (42), Nièvre (58), and Rhône (69)15.</w:t>
      </w:r>
    </w:p>
    <w:p>
      <w:r>
        <w:t>10 Decree No. 2010-1033 of August 31, 2010, relating to the controlled designation of origin "Bœuf de Charolles".</w:t>
      </w:r>
    </w:p>
    <w:p>
      <w:r>
        <w:t>11 The average purchase price per kilogram of "meat" heifers under the AOC "Bœuf de Charolles" is approximately […]% higher than that of standard "meat" heifers.</w:t>
      </w:r>
    </w:p>
    <w:p>
      <w:r>
        <w:t>12 See the aforementioned letter C2008-100, as well as decisions No. 13-DCC-172, No. 11-DCC-68, No. 10-DCC-22, and No. 16-DCC-178.</w:t>
      </w:r>
    </w:p>
    <w:p>
      <w:r>
        <w:t>13 See in particular the decisions of the Competition Authority No. 10-DCC-03 of January 12, 2010, regarding the exclusive control of the MAFART group by ANCS (Accueil group), and No. 12-DCC-41 of March 23, 2012, regarding the exclusive control of Brossette by Point P.</w:t>
      </w:r>
    </w:p>
    <w:p>
      <w:r>
        <w:t>14 See decision No. 16-DCC-178.</w:t>
      </w:r>
    </w:p>
    <w:p>
      <w:r>
        <w:t>15 Decree No. 2010-1033 of August 31, 2010, referenced.</w:t>
      </w:r>
    </w:p>
    <w:p>
      <w:r>
        <w:t>2. THE CARCASSES OF MEAT FROM THE FIRST PROCESSING</w:t>
      </w:r>
    </w:p>
    <w:p>
      <w:r>
        <w:t>a) Product Market</w:t>
      </w:r>
    </w:p>
    <w:p>
      <w:r>
        <w:t>16. According to the decisional practice16, the markets for carcasses of meat from the first processing are segmented according to the type of animal.</w:t>
      </w:r>
    </w:p>
    <w:p>
      <w:r>
        <w:t>17. In this case, the parties are simultaneously active in the market for cattle and pig carcasses.</w:t>
      </w:r>
    </w:p>
    <w:p>
      <w:r>
        <w:t>18. Regarding cattle carcasses, the decisional practice17 has considered that this market could be segmented in the same way as that for the collection of cattle for slaughter.</w:t>
      </w:r>
    </w:p>
    <w:p>
      <w:r>
        <w:t>19. For the purposes of this operation, a potential segment of beef from cattle under official quality and origin identification labels has also been studied. However, there is no need to decide on the relevance of this segmentation, as the conclusions of the competitive analysis remain unchanged, regardless of the segmentation considered.</w:t>
      </w:r>
    </w:p>
    <w:p>
      <w:r>
        <w:t>20. Regarding pig carcasses, the decisional practice did not segment according to the category of animal.</w:t>
      </w:r>
    </w:p>
    <w:p>
      <w:r>
        <w:t>21. Finally, the decisional practice18 has considered that each distribution channel used for the marketing of cattle or pig carcasses from the first processing (hypermarkets and supermarkets, hereinafter "GMS", food service, hereinafter "RHD", agri-food industries, hereinafter "IAA", and butchers-charcutiers-artisans, hereinafter "BCA") constitutes a distinct market due to the existence of different needs depending on the type of buyers, particularly in terms of volumes, sizing, and packaging.</w:t>
      </w:r>
    </w:p>
    <w:p>
      <w:r>
        <w:t>b) Geographic Market</w:t>
      </w:r>
    </w:p>
    <w:p>
      <w:r>
        <w:t>22. The decisional practice has considered that the markets for carcasses of meat from the first processing are of national scope19.</w:t>
      </w:r>
    </w:p>
    <w:p>
      <w:r>
        <w:t>3. THE SLAUGHTER BY-PRODUCTS</w:t>
      </w:r>
    </w:p>
    <w:p>
      <w:r>
        <w:t>a) Product Market</w:t>
      </w:r>
    </w:p>
    <w:p>
      <w:r>
        <w:t>23. National and European competition authorities20 have segmented the market for by-products between slaughter by-products unfit for human consumption, which are themselves segmented by type of by-products, and slaughter by-products fit for human and animal consumption as well as for pharmaceutical uses, which are also segmented by type of by-products.</w:t>
      </w:r>
    </w:p>
    <w:p>
      <w:r>
        <w:t>21 See in particular the aforementioned letter C2008-100 as well as decisions No. 13-DCC-172, No. 11-DCC-68, and No. 10-DCC-22.</w:t>
      </w:r>
    </w:p>
    <w:p>
      <w:r>
        <w:t>24. In this case, the parties are simultaneously active across all these markets.</w:t>
      </w:r>
    </w:p>
    <w:p>
      <w:r>
        <w:t>b) Geographic Market</w:t>
      </w:r>
    </w:p>
    <w:p>
      <w:r>
        <w:t>25. The decisional practice has considered that the markets for slaughter by-products are of national scope22.</w:t>
      </w:r>
    </w:p>
    <w:p>
      <w:r>
        <w:t>B. THE SECOND PROCESSING</w:t>
      </w:r>
    </w:p>
    <w:p>
      <w:r>
        <w:t>a) Product Market</w:t>
      </w:r>
    </w:p>
    <w:p>
      <w:r>
        <w:t>26. The "meats from the second processing" correspond to meats that are cut and/or deboned, often vacuum-packed for better preservation, and sold through various distribution channels to customers who further process this merchandise for sale presentation (portioning, processing into ground beef, etc.). Within this market, the decisional practice23 operates a segmentation according to animal species.</w:t>
      </w:r>
    </w:p>
    <w:p>
      <w:r>
        <w:t>27. In this case, the parties simultaneously market beef and pork from the second processing.</w:t>
      </w:r>
    </w:p>
    <w:p>
      <w:r>
        <w:t>28. Regarding beef, the decisional practice24 distinguished between meat sold in the form of muscle and that sold in the form of trim. The muscle indeed comes from the same animal and is generally intended for the production of meat cuts bearing different names depending on the muscle concerned (flank, chuck, etc.), while the trim, which constitutes the raw material for ground beef, is composed of a mix of various muscles and is often the result of blending meats from different animals.</w:t>
      </w:r>
    </w:p>
    <w:p>
      <w:r>
        <w:t>29. For the purposes of this operation, a potential segment of beef from cattle under official quality and origin identification labels has also been studied.</w:t>
      </w:r>
    </w:p>
    <w:p>
      <w:r>
        <w:t>30. Regarding pork, the decisional practice25 has considered making the markets for the second and third processing (see below) a single market, while leaving the question open.</w:t>
      </w:r>
    </w:p>
    <w:p>
      <w:r>
        <w:t>31. Finally, similar to the markets for the first processing, the markets for the second processing have been segmented based on the distribution channel, regardless of the type of meat considered: GMS, BCA, IAA, and RHD26.</w:t>
      </w:r>
    </w:p>
    <w:p>
      <w:r>
        <w:t>32. In this case, it is not necessary to decide on the exact delineation of these markets, as the conclusions of the competitive analysis remain unchanged regardless of the delineation adopted.</w:t>
      </w:r>
    </w:p>
    <w:p>
      <w:r>
        <w:t>21 See in particular the aforementioned letter C2008-100 as well as decisions No. 13-DCC-172, No. 11-DCC-68, and No. 10-DCC-22.</w:t>
      </w:r>
    </w:p>
    <w:p>
      <w:r>
        <w:t>22 See in particular decision No. 11-DCC-68.</w:t>
      </w:r>
    </w:p>
    <w:p>
      <w:r>
        <w:t>23 See in particular the aforementioned letter C2008-100, and decisions No. 11-DCC-68 and No. 10-DCC-22. See also decision COMP/M.3605.</w:t>
      </w:r>
    </w:p>
    <w:p>
      <w:r>
        <w:t>24 See in particular the aforementioned letter C2008-100 as well as decisions No. 10-DCC-31 and No. 10-DCC-22.</w:t>
      </w:r>
    </w:p>
    <w:p>
      <w:r>
        <w:t>25 See in particular the decisions of the Competition Authority No. 15-DCC-33 of March 20, 2015, regarding the exclusive control of certain assets of the Gad group by the Société Vitréenne d’Abattage Jean Roze and No. 11-DCC-154 of October 24, 2011, regarding the exclusive control of the Financière du Forest by the Centrale Coopérative Agricole Bretonne.</w:t>
      </w:r>
    </w:p>
    <w:p>
      <w:r>
        <w:t>26 See in particular decisions No. 15-DCC-33, No. 11-DCC-68, and No. 10-DCC-22.</w:t>
      </w:r>
    </w:p>
    <w:p>
      <w:r>
        <w:rPr>
          <w:b/>
        </w:rPr>
        <w:t>[Pages 7–9]</w:t>
      </w:r>
    </w:p>
    <w:p>
      <w:r>
        <w:t xml:space="preserve">b) Geographic Market  </w:t>
        <w:br/>
        <w:t xml:space="preserve">33. The decisional practice27 analyzed the markets for the second processing at the national level. However, it also noted, for pork, the trend towards increasing transnational trade flows, which would suggest a geographical dimension broader than national28.  </w:t>
        <w:br/>
        <w:t xml:space="preserve">34. The question of the geographical dimension of these markets may, however, remain open, as the conclusions of the competitive analysis remain unchanged regardless of the delineation adopted.  </w:t>
        <w:br/>
        <w:t xml:space="preserve">C. THE THIRD PROCESSING  </w:t>
        <w:br/>
        <w:t xml:space="preserve">a) Product Market  </w:t>
        <w:br/>
        <w:t xml:space="preserve">35. The "meats from the third processing" correspond to ready-to-cook meats, packaged in the form of Industrial Consumer Sales Units (hereinafter, "UVCI") and directly presentable for sale. The markets for meat from the third processing are segmented by species and by distribution channel29.  </w:t>
        <w:br/>
        <w:t xml:space="preserve">36. In this case, the parties simultaneously market meats from cattle, sheep, and pigs from the third processing.  </w:t>
        <w:br/>
        <w:t xml:space="preserve">37. Regarding beef sold under UVCI, the decisional practice considered that ground beef constitutes a particular category of products, given the predominant place it occupies in total beef sales. Furthermore, it distinguished between fresh ground beef and frozen ground beef, due to the existence of differences in price, sanitary production constraints, and preservation methods between these two types of products30.  </w:t>
        <w:br/>
        <w:t xml:space="preserve">38. Regarding pork, the decisional practice31 considered a market for fresh meat encompassing the second and third processing, while leaving the question of this delineation open.  </w:t>
        <w:br/>
        <w:t xml:space="preserve">39. Finally, concerning sales to supermarkets, the decisional practice considered a segmentation based on product positioning (manufacturer brand or "MDF", distributor brand or "MDD", hard discount brand or "MHD", and first price brand or "MPP")32.  </w:t>
        <w:br/>
        <w:t xml:space="preserve">40. In this case, it is not necessary to decide on the exact delineation of these markets, as the conclusions of the competitive analysis remain unchanged regardless of the delineation adopted.  </w:t>
        <w:br/>
        <w:t xml:space="preserve">27 Id.  </w:t>
        <w:br/>
        <w:t xml:space="preserve">28 See notably decisions n° 15-DCC-33 cited above.  </w:t>
        <w:br/>
        <w:t xml:space="preserve">29 See letter C2008-100 cited above and decisions n° 15-DCC-33 and n° 11-DCC-68 cited above.  </w:t>
        <w:br/>
        <w:t xml:space="preserve">30 Id.  </w:t>
        <w:br/>
        <w:t xml:space="preserve">31 See the letter from the Minister of Economy C2008-56 regarding the merger of the cooperative companies Cooperl-Hunaudaye and Arca dated August 13, 2008, the decisions of the European Commission IV/M.1313, COMP/M.3605 COMP/M.3968, and the decisions of the Competition Authority n° 11-DCC-154 of October 24, 2011, regarding the exclusive control of the company Financière du Forest by the Centrale Coopérative Agricole Bretonne and n° 15-DCC-33 of March 20, 2015, regarding the exclusive control of certain assets of the Gad group by the Société Vitréenne d’Abattage Jean Roze.  </w:t>
        <w:br/>
        <w:t xml:space="preserve">32 Id.  </w:t>
        <w:br/>
        <w:t xml:space="preserve">b) Geographic Market  </w:t>
        <w:br/>
        <w:t xml:space="preserve">41. The national and European competition authorities have determined that the markets for the third processing have a national dimension. However, they did not exclude that the market for frozen ground beef could be of supranational dimension33.  </w:t>
        <w:br/>
        <w:t xml:space="preserve">42. In this case, the question of the geographical dimension of these markets may remain open, as the conclusions of the competitive analysis remain unchanged regardless of the delineation adopted.  </w:t>
        <w:br/>
        <w:t xml:space="preserve">D. THE FOURTH PROCESSING  </w:t>
        <w:br/>
        <w:t xml:space="preserve">a) Product Market  </w:t>
        <w:br/>
        <w:t xml:space="preserve">43. The fourth processing corresponds to products made from meat. The decisional practice34 defined these products as raw, dried, smoked, or cooked meats from mammals or birds, containing ingredients such as salt or spices. The European Commission considered several segmentations based on the type of meat used35 and the type of product: raw products, products prepared for cold consumption, canned goods, sausages, pies and pâtés, as well as ready meals36. The national decisional practice also considered a segmentation by type of meat and by distribution channel37, or alternatively a segmentation by type of processed product (skewers, marinated meats, burgers, sausages, etc.) and by distribution channel (supermarkets, food industry, catering, butchers)38.  </w:t>
        <w:br/>
        <w:t xml:space="preserve">44. The national decisional practice also specifically analyzed the markets for charcuterie39, which mainly concern pork. For these markets, it considered a segmentation based on (i) the type of product (cooked hams, cooked shoulders, sausages and salamis, etc.), and, regarding distribution in supermarkets, (ii) the mode of distribution (self-service or cut-to-order) and (iii) the commercial positioning of the products (MDF, MDD, MPP, or MHD)40.  </w:t>
        <w:br/>
        <w:t xml:space="preserve">45. In this case, the parties are simultaneously active in twelve product families (ham with bone; shoulders, bone-in cuts; bellies and their salted, dried, smoked pieces; other salted, dried, smoked pork meats; other meats, edible offals, salted, brined, dried, or smoked; cooked hams; cooked shoulders; other cooked cuts; sausages and salamis other than liver sausages; pâtés and various preparations based on pork; pâtés and various preparations based on beef; lard).  </w:t>
        <w:br/>
        <w:t xml:space="preserve">33 See letter C2008-100 cited above and decision n° 11-DCC-68 cited above.  </w:t>
        <w:br/>
        <w:t xml:space="preserve">34 See letters C2007-30, C2007-167, C2007-174, and C2008-100 cited above, and decision of the Competition Authority n° 10-DCC-22 of March 8, 2010, regarding the exclusive control of the company Spanghero by the cooperative company Lur Berri.  </w:t>
        <w:br/>
        <w:t xml:space="preserve">35 See the decision of the European Commission COMP/M.2662, Danish Crown/Steff Houlberg of December 21, 2002.  </w:t>
        <w:br/>
        <w:t xml:space="preserve">36 Id.  </w:t>
        <w:br/>
        <w:t xml:space="preserve">37 See letter from the Minister of Economy C2007-30 of June 27, 2007, Socopa / Even.  </w:t>
        <w:br/>
        <w:t xml:space="preserve">38 See letter C2008-100 cited above.  </w:t>
        <w:br/>
        <w:t xml:space="preserve">39 See letter from the Minister of Economy C2007-153, dated February 15, 2008, Pierre Schmidt, and decisions 09-DCC-52 Cooperl / Brocéliande; decision n° 15-DCC-33 of March 20, 2015, regarding the exclusive control of certain assets of the Gad group by the Société Vitréenne d’Abattage Jean Roze of the Competition Authority.  </w:t>
        <w:br/>
        <w:t xml:space="preserve">40 See notably decisions 09-DCC-52 and 11-DCC-154 cited above, as well as the decision of the European Commission COMP/M.4257 Smithfield/oaktree/Sara Lee Foods Europe of July 28, 2006.  </w:t>
        <w:br/>
        <w:t xml:space="preserve">46. It is not necessary, however, to decide on the exact delineation of these markets, as the conclusions of the competitive analysis remain unchanged regardless of the delineation adopted.  </w:t>
        <w:br/>
        <w:t xml:space="preserve">b) Geographic Market  </w:t>
        <w:br/>
        <w:t xml:space="preserve">47. National and European competition authorities have adopted a national dimension for the markets of the fourth processing.  </w:t>
        <w:br/>
        <w:t xml:space="preserve">III. Competitive Analysis  </w:t>
        <w:br/>
        <w:t xml:space="preserve">48. The operation has horizontal effects insofar as Sicarev and Sicavyl are simultaneously active at different stages of meat processing.  </w:t>
        <w:br/>
        <w:t xml:space="preserve">A. THE FIRST TRANSFORMATION  </w:t>
        <w:br/>
        <w:t xml:space="preserve">49. The parties' first transformation activities overlap in the markets for the collection of live animals for slaughter (1) and the markets for the commercialization of carcasses (2) and slaughter by-products (3).  </w:t>
        <w:br/>
        <w:t xml:space="preserve">1. THE COLLECTION OF CATTLE FOR SLAUGHTER  </w:t>
        <w:br/>
        <w:t xml:space="preserve">50. In geographical areas corresponding to the actual footprints of the parties' slaughterhouses, the overlaps in activity are limited to the parties' slaughterhouses located in Roanne41 (42), La Talaudière42 (42), and Paray-le-Monial (71).  </w:t>
        <w:br/>
        <w:t xml:space="preserve">51. In the areas corresponding to the actual footprints of the slaughterhouses in Roanne and La Talaudière, owned by Sicarev, the market share of the new entity will remain below [20-30]%, with the operation resulting in a market share increment of less than [0-5] points, regardless of the segmentation examined. The parties will face competition in these areas from several slaughterers/collectors, including the Bigard group43 and the Puigrenier establishments44.  </w:t>
        <w:br/>
        <w:t xml:space="preserve">52. In the area corresponding to the actual footprint of the slaughterhouse in Paray-le-Monial owned by Sicavyl45, the market share of the new entity is [80-90]% in the "other cattle" segment (excluding calves), [70-80]% in the young cattle segment, and [80-90]% in the beef breed segment, with increments of [0-5] points, [10-20] points, and [10-20] points, respectively. However, the investigation showed that the Bigard group and the  </w:t>
        <w:br/>
        <w:t xml:space="preserve">41 This area corresponds to a radius of approximately 190 kilometers around the slaughterhouse.  </w:t>
        <w:br/>
        <w:t xml:space="preserve">42 This area corresponds to a radius of approximately 277 kilometers around the slaughterhouse.  </w:t>
        <w:br/>
        <w:t xml:space="preserve">43 The Bigard group holds a market share of [20-30]% in the market for the collection of beef cattle in the area of the actual footprint of the slaughterhouse in Roanne.  </w:t>
        <w:br/>
        <w:t xml:space="preserve">44 The market share of the Puigrenier establishments is [5-10]% in the market for the collection of beef cattle in the area of the actual footprint of the slaughterhouse in Roanne.  </w:t>
        <w:br/>
        <w:t>45 This area corresponds to a radius of approximately 80 kilometers around the slaughterhouse.</w:t>
      </w:r>
    </w:p>
    <w:p>
      <w:r>
        <w:rPr>
          <w:b/>
        </w:rPr>
        <w:t>[Pages 10–12]</w:t>
      </w:r>
    </w:p>
    <w:p>
      <w:r>
        <w:t>establishments Puigrenier, whose slaughterhouses are located outside the defined area, nevertheless collect cattle within it and have sufficient capacity to increase the volume of their collection and slaughter. Sicarev also has cattle slaughtered in La Talaudière (42), which is located outside the collection area of the Paray-le-Monial slaughterhouse, from cattle collected in the area of the Paray-le-Monial slaughterhouse.</w:t>
      </w:r>
    </w:p>
    <w:p>
      <w:r>
        <w:t>53. Consequently, the collectors/slaughterers in the Paray-le-Monial area remain subject to competitive pressure from players located outside this area. Furthermore, the elements in the file show that breeders have alternatives to the parties for selling their cattle in the event of a decrease in the purchase prices practiced by the new entity following the operation.</w:t>
      </w:r>
    </w:p>
    <w:p>
      <w:r>
        <w:t>54. In areas within a radius of 300 kilometers around the parties' slaughterhouses (Roanne, La Talaudière, Corbigny46, Migennes47, and Paray-le-Monial), the market share of the new entity will remain below [20-30]%, regardless of the segmentation examined. The parties will continue to face competition in these areas from several slaughterers/collectors, including the Bigard group48 and the Puigrenier establishments49.</w:t>
      </w:r>
    </w:p>
    <w:p>
      <w:r>
        <w:t>55. In the potential segment of the collection of cattle under the AOC "Bœuf de Charolles," the operation would result in the creation of a monopoly (Sicavyl: [70-80]%; Sicarev: [20-30]%). The parties collect these cattle from three producer organizations, Actis Bovin, Charolais Horizon, and Feder, which together represent [90-100]% of the production, and from independent producers. Sicarev slaughters the cattle collected at its slaughterhouse in Roanne, while Sicavyl uses the slaughterhouse of its subsidiary Charolais Viandes located in Paray-le-Monial, which are the only two approved slaughterhouses in the area for slaughtering cattle under the AOC "Bœuf de Charolles."</w:t>
      </w:r>
    </w:p>
    <w:p>
      <w:r>
        <w:t>56. Three other slaughterhouses are present in the AOC area; they are located in Charlieu (42), Luzy (58), and Autun (71). It emerges from the investigation that these slaughterhouses, which perform slaughtering services for their clients without purchasing cattle themselves, would likely be able to obtain the required approval to slaughter cattle under the AOC "Bœuf de Charolles" within a reasonable time and without significant investment, should there be demand. Furthermore, these slaughterhouses have the necessary technical capacities to slaughter additional cattle.</w:t>
      </w:r>
    </w:p>
    <w:p>
      <w:r>
        <w:t>57. Consequently, the barriers to entry in the market for the collection of cattle for slaughter under the AOC "Bœuf de Charolles" are prima facie low, such that an operator could easily source from the main producer organizations and independent producers active in the area to have them slaughtered at a previously approved public slaughterhouse.</w:t>
      </w:r>
    </w:p>
    <w:p>
      <w:r>
        <w:t>58. However, in order to enter this market, a collector must also have access to the inputs, namely the cattle under the AOC "Bœuf de Charolles."</w:t>
      </w:r>
    </w:p>
    <w:p>
      <w:r>
        <w:t>59. Among the three producer organizations that supply cattle under the AOC "Bœuf de Charolles," two of them, Actis Bovins and Charolais Horizon, which are also cooperatives, are shareholders of Sicarev, holding respectively […]% and […]% of the capital. These organizations, which will remain members of Sicarev following the operation, are bound by the statutes of the latter, which provide, in Article 16, that its members "will be required, depending on their activity, to deliver to the company or to have processed by it or through it, certain of their products."</w:t>
      </w:r>
    </w:p>
    <w:p>
      <w:r>
        <w:t>60. Feder and independent breeders, who represent approximately […]% of the supply of cattle under the AOC "Bœuf de Charolles," remain free to sell their cattle to Sicarev or Sicavyl, or to any potential third-party collector. However, following the operation, Feder, which holds […]%50 of the capital of Sicavyl, will also become a member of Sicarev (the new entity) and will therefore be subject to its statutes, particularly the aforementioned Article 16.</w:t>
      </w:r>
    </w:p>
    <w:p>
      <w:r>
        <w:t>61. Consequently, all of these producer organizations, which together represent almost all of the production of cattle under the AOC "Bœuf de Charolles," could be compelled to supply exclusively to the new entity, which, holding a monopoly on the collection of cattle under the AOC "Bœuf de Charolles," will be able to lock in access to inputs for a new entrant wishing to compete with it for this activity.</w:t>
      </w:r>
    </w:p>
    <w:p>
      <w:r>
        <w:t>62. Therefore, the operation is likely to create a risk of economic dependence for the producers and producer organizations supplying cattle under the AOC "Bœuf de Charolles" with respect to the new entity and to render the monopoly of the new entity in the collection of cattle under the AOC "Bœuf de Charolles" uncontestable. To remedy this, the parties have proposed the commitments described in paragraphs 79 and following.</w:t>
      </w:r>
    </w:p>
    <w:p>
      <w:r>
        <w:t>2. CARCASSES OF MEAT FROM THE FIRST PROCESSING</w:t>
      </w:r>
    </w:p>
    <w:p>
      <w:r>
        <w:t>63. In the markets for cattle and pig carcasses, the combined market share of the parties is below [5-10]%, regardless of the segment considered.</w:t>
      </w:r>
    </w:p>
    <w:p>
      <w:r>
        <w:t>64. Consequently, the operation is not likely to harm competition in the markets for meat carcasses.</w:t>
      </w:r>
    </w:p>
    <w:p>
      <w:r>
        <w:t>3. BY-PRODUCTS FROM SLAUGHTER</w:t>
      </w:r>
    </w:p>
    <w:p>
      <w:r>
        <w:t>65. In the markets for by-products suitable for human and animal consumption and for pharmaceutical uses, as well as those for products unfit for consumption, the combined market share of the parties is below [10-20]%, regardless of the segment considered. Regarding the markets for hides and skins, the combined market share of the parties is below [0-5]%, regardless of the segment considered.</w:t>
      </w:r>
    </w:p>
    <w:p>
      <w:r>
        <w:t>66. Consequently, the operation is not likely to harm competition in the markets for by-products from slaughter.</w:t>
      </w:r>
    </w:p>
    <w:p>
      <w:r>
        <w:t>B. THE SECOND PROCESSING</w:t>
      </w:r>
    </w:p>
    <w:p>
      <w:r>
        <w:t>67. In the markets for fresh beef and pork, the combined market share of the parties is below [5-10]%, regardless of the segment considered.</w:t>
      </w:r>
    </w:p>
    <w:p>
      <w:r>
        <w:t>68. Consequently, the operation is not likely to harm competition in the markets for the second processing.</w:t>
      </w:r>
    </w:p>
    <w:p>
      <w:r>
        <w:t>50 Feder also holds […]% of the capital of the company Charolais Viandes, controlled by Sicavyl, which operates the Paray-le-Monial slaughterhouse.</w:t>
      </w:r>
    </w:p>
    <w:p>
      <w:r>
        <w:t>C. THE THIRD PROCESSING</w:t>
      </w:r>
    </w:p>
    <w:p>
      <w:r>
        <w:t>69. In the markets for fresh beef and pork, the combined market share of the parties does not exceed [5-10]%, regardless of the segment considered.</w:t>
      </w:r>
    </w:p>
    <w:p>
      <w:r>
        <w:t>70. In a potential market for fresh pork meat resulting from the second and third processing, the market share of the new entity will be below [0-5]%, regardless of the segment considered.</w:t>
      </w:r>
    </w:p>
    <w:p>
      <w:r>
        <w:t>71. Consequently, the notified operation is not likely to harm competition in the markets for the third processing.</w:t>
      </w:r>
    </w:p>
    <w:p>
      <w:r>
        <w:t>D. THE FOURTH PROCESSING</w:t>
      </w:r>
    </w:p>
    <w:p>
      <w:r>
        <w:t>72. In the markets for processed products based on beef and pork, the combined market share of the parties does not exceed [0-5]%, regardless of the segment considered.</w:t>
      </w:r>
    </w:p>
    <w:p>
      <w:r>
        <w:t>73. Consequently, the notified operation is not likely to harm competition in the markets for the fourth processing.</w:t>
      </w:r>
    </w:p>
    <w:p>
      <w:r>
        <w:t>IV. Commitments</w:t>
      </w:r>
    </w:p>
    <w:p>
      <w:r>
        <w:t>74. In order to address the identified risks of harm to competition, the parties submitted, on December 1, 2016, a proposal for commitments for a renewable period of five years. The full text of these commitments, attached as an annex, forms an integral part of this decision.</w:t>
      </w:r>
    </w:p>
    <w:p>
      <w:r>
        <w:t>A. PROPOSED COMMITMENTS</w:t>
      </w:r>
    </w:p>
    <w:p>
      <w:r>
        <w:t>75. The commitments proposed by the parties aim to address the risks of harm to competition that the operation generates through horizontal effects on the collection of cattle under the AOC "Bœuf de Charolles."</w:t>
      </w:r>
    </w:p>
    <w:p>
      <w:r>
        <w:t>76. The parties commit that the entity resulting from the merger will not impose on any member a minimum delivery or marketing of cattle under the AOC "Bœuf de Charolles." They also commit that the new entity will not prohibit its members from delivering or marketing cattle under the AOC "Bœuf de Charolles" to any third party that requests it, including third-party collectors.</w:t>
      </w:r>
    </w:p>
    <w:p>
      <w:r>
        <w:t>77. In this regard, the parties commit that the new entity will impose no obligation on its members that would contravene the above commitments, particularly in the contracts that will be concluded between the new entity and its members in accordance with Article 16 of the current statutes of Sicarev.</w:t>
      </w:r>
    </w:p>
    <w:p>
      <w:r>
        <w:rPr>
          <w:b/>
        </w:rPr>
        <w:t>[Pages 13–14]</w:t>
      </w:r>
    </w:p>
    <w:p>
      <w:r>
        <w:t>78. Finally, the parties undertake not to interfere, in any way, in any potential approval procedure for a third-party slaughterhouse to be authorized to slaughter cattle under the AOC "Bœuf de Charolles."</w:t>
      </w:r>
    </w:p>
    <w:p>
      <w:r>
        <w:t>B. ASSESSMENT OF THE PROPOSED COMMITMENTS</w:t>
      </w:r>
    </w:p>
    <w:p>
      <w:r>
        <w:t>79. In accordance with the provisions of its guidelines on the control of concentrations51, the Authority primarily seeks structural measures to remedy competition concerns. However, in this case, the competition concerns raised by the operation are not related to the holding of assets. They instead arise from statutory provisions granting the parties the ability to obstruct the entry of new operators by compelling producer organizations to deliver their products to them. It follows that a structural commitment, such as the divestiture of a slaughterhouse by the parties, would not have been adequate in this case given the particularities of the organization of the parties' activities and their ties with breeders. Consequently, behavioral remedies appear to be more appropriate to compensate for the identified competition harms.</w:t>
      </w:r>
    </w:p>
    <w:p>
      <w:r>
        <w:t>80. Such remedies must be defined in a way that ensures their effectiveness and controllability. Regardless of the nature of the proposed measures, they must be effective in fully remedying the identified competition harms. To this end, their implementation must not raise any doubts, which implies that they should be drafted in a sufficiently clear and precise manner and that the operational modalities for their realization should be detailed enough to ensure monitoring. Their implementation must also be swift, as competition is not preserved until they are realized.</w:t>
      </w:r>
    </w:p>
    <w:p>
      <w:r>
        <w:t>81. In this regard, the Authority recalls in its guidelines that it ensures that "corrective measures are necessary and proportionate, meaning that the burdens imposed on companies, which go against the principle of freedom to undertake, are strictly necessary to maintain or restore sufficient competition and that the same result cannot be achieved by other less burdensome measures"52. The Council of State has ruled, in this regard, that it is the Authority's responsibility to exercise its power of subordination to the effective realization of commitments "in proportion to what is required to maintain sufficient competition in the markets affected by the operation"53. The Council of State has also clarified that remedies, which would consist of improving the structure of the market existing prior to the proposed operation, cannot be demanded by third parties from the Authority54.</w:t>
      </w:r>
    </w:p>
    <w:p>
      <w:r>
        <w:t>82. This is the case here. The proposed commitments are indeed capable of facilitating the entry of a new operator into the market for the collection of cattle for slaughter under the AOC "Bœuf de Charolles" by ensuring that the new entity cannot oppose this entry through a lock-in of inputs, so that producer organizations and independent breeders of cattle under the AOC "Bœuf de Charolles" have a potential alternative that does not make them dependent on the new entity. Given the commitments undertaken, any behavior by the parties that would compel, directly or indirectly, breeders to reserve their production for slaughter under the AOC "Bœuf de Charolles" will be prohibited, which results in removing the only significant obstacle to the entry of new competitors.</w:t>
      </w:r>
    </w:p>
    <w:p>
      <w:r>
        <w:t>83. Consequently, the Authority considers that the commitments proposed by the parties are sufficient to eliminate the competition harms resulting from the operation.</w:t>
      </w:r>
    </w:p>
    <w:p>
      <w:r>
        <w:t>DECIDES</w:t>
      </w:r>
    </w:p>
    <w:p>
      <w:r>
        <w:t>Sole Article: The operation notified under number 16-178 is authorized subject to the commitments described above and attached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