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https://www.autoritedelaconcurrence.fr/fr/decision-de-controle-des-concentrations/relative-la-cession-du-fonds-de-commerce-de-la-sed-de-saint</w:t>
      </w:r>
    </w:p>
    <w:p>
      <w:r>
        <w:t>Pages translated : 6</w:t>
      </w:r>
    </w:p>
    <w:p/>
    <w:p>
      <w:r>
        <w:rPr>
          <w:b/>
        </w:rPr>
        <w:t>[Pages 1–3]</w:t>
      </w:r>
    </w:p>
    <w:p>
      <w:r>
        <w:t xml:space="preserve">FRENCH REPUBLIC  </w:t>
        <w:br/>
        <w:t xml:space="preserve">Decision No. 11-DCC-173 of November 28, 2011  </w:t>
        <w:br/>
        <w:t>regarding the transfer of the business assets of SED Saint-François to the companies Carcom and Établissements Jacques Nouy</w:t>
      </w:r>
    </w:p>
    <w:p>
      <w:r>
        <w:t xml:space="preserve">The Competition Authority,  </w:t>
        <w:br/>
        <w:t xml:space="preserve">Having regard to the notification file sent to the merger service on October 11, 2011, and declared complete on October 25, 2011, concerning the transfer of the business assets of the company operating and distributing in Saint-François (hereinafter "SED Saint-François") to the companies Carcom and Établissements Jacques Nouy, formalized by a takeover offer of asset elements submitted on September 30, 2011, to the judicial administrator of SED Saint-François and executed following a judgment of the mixed commercial court of Pointe-à-Pitre (97) dated October 20, 2011;  </w:t>
        <w:br/>
        <w:t xml:space="preserve">Having regard to Book IV of the Commercial Code relating to price freedom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The company SED Saint-François is active in the retail sector with a food dominance. Its exclusive activity is the operation of a 1,050 m² supermarket under the "U" brand, located in Saint François, Guadeloupe (97). It is currently controlled by Mr. Hervé Honoré.  </w:t>
        <w:br/>
        <w:t xml:space="preserve">2. The company Carcom, exclusively controlled by Mr. Philippe Nouy, is active in Guadeloupe in the wholesale food distribution sector and cash and carry wholesale, through its subsidiaries Établissements Auguste Nouy and Sodial Nouy SARL, as well as in the retail sector, through the company Sodex Desmarais1 which operates a hypermarket located in the municipality of Basse-Terre (97).  </w:t>
        <w:br/>
        <w:t>1 Sodex Desmarais is jointly controlled by the companies Carcom and Établissements Jacques Nouy.</w:t>
      </w:r>
    </w:p>
    <w:p>
      <w:r>
        <w:t xml:space="preserve">3. The company Établissements Jacques Nouy, controlled by Mr. Christian Clayssen, is the parent company of the Établissements Jacques Nouy group, active in Guadeloupe in the wholesale food distribution sector and cash and carry wholesale. The group is also active in the import/export of beverages (alcoholic beverages, wines, and spirits as well as underwear) and acts as the exclusive distributor in Guadeloupe for various alcohol brands.  </w:t>
        <w:br/>
        <w:t xml:space="preserve">4. The company SED Saint-François was placed under judicial reorganization by judgment of the mixed commercial court of Pointe-à-Pitre dated September 8, 2011. As part of the takeover offer dated September 30, 2011, the operation consists of the joint control acquisition of the business assets of SED Saint-François by the companies Carcom and Établissements Jacques Nouy via their joint subsidiary Sodex Saint-François. This operation, for which the parties received a waiver from the president of the Competition Authority dated October 19, 2011, was executed following a judgment of October 20, 2011, of the mixed commercial court of Pointe-à-Pitre, and constitutes a concentration within the meaning of Article L. 430-1 of the Commercial Code.  </w:t>
        <w:br/>
        <w:t>5. The concerned companies together achieved a consolidated turnover excluding taxes on a global scale of more than 75 million euros in the last closed financial year (Carcom and its subsidiaries: 53.3 million euros for the 2010 financial year; Établissements Jacques Nouy and its subsidiaries: 48.5 million euros for the same financial year; SED Saint-François: 8.4 million euros for the same financial year). At least two of these companies achieved, in Guadeloupe, a turnover exceeding 7.5 million euros (Carcom and its subsidiaries: 53.3 million euros for the 2010 financial year; Établissements Jacques Nouy and its subsidiaries: 44.3 million euros for the same financial year; SED Saint-François: 8.4 million euros for the same financial year). Given these turnover figures, the operation does not have a community dimension. However, the control thresholds mentioned in III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According to the consistent practice of national and community competition authorities2, two categories of markets can be delineated3 in the food-dominant retail distribution sector. These are, on the one hand, the "downstream" markets, of local dimension, which bring together retail trade companies and consumers for the sale of consumer goods and, on the other hand, the "upstream" markets for the supply of retail trade and wholesale companies in everyday consumer goods, of national dimension.  </w:t>
        <w:br/>
        <w:t xml:space="preserve">2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3 Decisions of the Commission in the cases M.1221 Rewe/Meinl of February 3, 1999; M.1684, Carrefour/Promodès, of January 25, 2000 and M.2115, Carrefour/GB, of September 28, 2000. See also the decision C.2005-98 Carrefour/Penny Market of November 10, 2005.</w:t>
      </w:r>
    </w:p>
    <w:p>
      <w:r>
        <w:t xml:space="preserve">A. UPSTREAM SUPPLY MARKETS  </w:t>
        <w:br/>
        <w:t xml:space="preserve">7. Regarding supply markets, both community and national decision-making practices4 have recognized the existence of markets of national dimension, segmented by major product groups.  </w:t>
        <w:br/>
        <w:t xml:space="preserve">8. However, concerning the overseas departments, opinion 09-A-45 of the Competition Authority dated September 8, 2009, related to the mechanisms of importation and distribution of consumer goods in the overseas departments, highlighted the very specific nature of the supply chains for consumer goods and its effects on the competitive balance of the concerned markets. Additionally, a portion of the supply for retail distribution brands predominantly focused on food comes from local producers, in order to meet local tastes and dietary habits but also to limit import costs including shipping and customs duties. The geographical markets for supply could therefore be limited either to each DOM or to the Antilles-Guyane zone, which is concerned in this case.  </w:t>
        <w:br/>
        <w:t>9. In this case, the notifying parties are present upstream in the supply markets as buyers due to their activities as both traditional and cash and carry wholesalers5.</w:t>
      </w:r>
    </w:p>
    <w:p>
      <w:r>
        <w:t xml:space="preserve">B. WHOLESALE MARKETS FOR FOOD PRODUCTS  </w:t>
        <w:br/>
        <w:t xml:space="preserve">10. Regarding the wholesale distribution of food products, decision-making practice6 has made a distinction based on the customers to whom these products are distributed: firstly, large retail and food-dominant businesses ("GMS"), secondly, out-of-home catering ("RHF"), and finally, the agri-food industry. The distinction has also been made by types of products (beverages, fresh products, dry products, etc.) and based on the mode of distribution. Decision-making practice thus considers that sales made in cash &amp; carry wholesale constitute a distinct product market from other wholesale activities7.  </w:t>
        <w:br/>
        <w:t xml:space="preserve">11. Regarding the geographical delimitation of wholesale markets, concerning the DOM, the decision-making practice of the Competition Authority8 has considered the existence of a wholesale distribution market to the GMS at the scale of each DOM and/or the Antilles-Guyane zone, corresponding to the activity of wholesale-importers. It also seems relevant to assess the effects of the operation on cash and carry wholesale within Guadeloupe.  </w:t>
        <w:br/>
        <w:t xml:space="preserve">4 See the decisions of the European Commission M. 1221, M.1684 and M. 2115 cited above; see also decisions of the minister C2005-98 cited above; C2006-15, Carrefour/Groupe Hamon, of April 14, 2006; C2007-172, relating to the creation of the joint venture Plamidis, of February 13, 2008; and C2008-32 Carrefour/SAGC of July 9, 2008.  </w:t>
        <w:br/>
        <w:t xml:space="preserve">5 The company Sodial Nouy, a subsidiary of CARCOM, operates a cash &amp; carry wholesale business of 1,690 m² in Jarry. The company Établissement Auguste Nouy, a subsidiary of CARCOM, operates a cash &amp; carry wholesale retail business of 1,095 m² in Baillif. The company Établissements Jacques Nouy operates a cash &amp; carry wholesale business of 1,200 m² in Jarry.  </w:t>
        <w:br/>
        <w:t xml:space="preserve">6 Cf. the decisions of the European Commission of March 8, 2000, in the case COMP/M.1802 – Unilever/Amora Maille and of September 28, 2000, in the case COMP/M.1990 Unilever/Bestfoods.  </w:t>
        <w:br/>
        <w:t xml:space="preserve">7 See in particular the decision of the European Commission Promodes / BRMC, of July 13, 1992, IV/M.242; the decision of the European Commission of November 20, 1996, Kesko / Tuko, No. M.784; the decision of the European Commission Metro / Makro of December 22, 1997, M. 1063; as well as the decision of the Competition Authority 10-DCC-158 of November 22, 2010, relating to the exclusive control of nine companies of the Van der Woestyne group by the Les Maîtres laitiers du Cotentin group.  </w:t>
        <w:br/>
        <w:t>8 See decision 10-DCC-25 cited above.</w:t>
      </w:r>
    </w:p>
    <w:p>
      <w:r>
        <w:rPr>
          <w:b/>
        </w:rPr>
        <w:t>[Pages 4–6]</w:t>
      </w:r>
    </w:p>
    <w:p>
      <w:r>
        <w:t>in any event, the precise delineation of wholesale markets can be left open, as the analysis remains unchanged for the present transaction.</w:t>
      </w:r>
    </w:p>
    <w:p>
      <w:r>
        <w:t>12. Regarding the buyer's wholesale activities and its presence in the downstream market, the vertical effects of the transaction will therefore be examined at the level of Guadeloupe.</w:t>
      </w:r>
    </w:p>
    <w:p>
      <w:r>
        <w:t>C. DOWNSTREAM MARKETS OF RETAIL DISTRIBUTION WITH A FOOD DOMINANCE</w:t>
      </w:r>
    </w:p>
    <w:p>
      <w:r>
        <w:t>1. SERVICE MARKETS</w:t>
      </w:r>
    </w:p>
    <w:p>
      <w:r>
        <w:t>13. Concerning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breadth of the product ranges offered: (i) hypermarkets, (ii) supermarkets, (iii) specialized trade, (iv) small retail trade, (v) discount stores, (vi) mail order sales.</w:t>
      </w:r>
    </w:p>
    <w:p>
      <w:r>
        <w:t>14. Supermarkets are usually defined as food-dominant stores with a legal sales area between 400 and 2,500 m². However, these thresholds should be used with caution and may be adapted to the specific case, as stores whose area is near these thresholds, either above or below, may in fact be in direct competition.</w:t>
      </w:r>
    </w:p>
    <w:p>
      <w:r>
        <w:t>15. In this case, the transaction concerns the acquisition of a business operated under the brand "U" by the company SED Saint-François, which currently occupies a sales area of 1,050 m². This store therefore falls into the category of supermarkets.</w:t>
      </w:r>
    </w:p>
    <w:p>
      <w:r>
        <w:t>2. GEOGRAPHICAL DELIMITATION</w:t>
      </w:r>
    </w:p>
    <w:p>
      <w:r>
        <w:t>16. Decision-making practice considers that in the case of retail trade with a food dominance, regarding supermarkets, the conditions of competition should generally be assessed in a market where consumer demand meets the supply of supermarkets and equivalent forms of trade located within a 15-minute drive. These latter forms of trade may include, in addition to supermarkets, hypermarkets located near consumers and discount stores.</w:t>
      </w:r>
    </w:p>
    <w:p>
      <w:r>
        <w:t>17. Other criteria may nevertheless be taken into account to evaluate the impact of a concentration on the competitive situation in retail distribution markets, which may lead to refining the usual delimitations presented above.</w:t>
      </w:r>
    </w:p>
    <w:p>
      <w:r>
        <w:t>18. In this case, the competitive analysis will be conducted on the market corresponding to a maximum travel time of 15 minutes by car around the supermarket operated by SED Saint-François.</w:t>
      </w:r>
    </w:p>
    <w:p>
      <w:r>
        <w:t>9 See in particular decision 11-DCC-45 of March 18, 2011, regarding the acquisition of exclusive control of the business assets of the Cora Desmarais hypermarket by the company Sodex Desmarais.</w:t>
      </w:r>
    </w:p>
    <w:p>
      <w:r>
        <w:t>III. Competitive Analysis</w:t>
      </w:r>
    </w:p>
    <w:p>
      <w:r>
        <w:t>A. ANALYSIS OF HORIZONTAL EFFECTS</w:t>
      </w:r>
    </w:p>
    <w:p>
      <w:r>
        <w:t>1. SUPPLY MARKETS</w:t>
      </w:r>
    </w:p>
    <w:p>
      <w:r>
        <w:t>19. In the overall supply market, across all product categories, the parties hold a market share of less than 2% at the regional level (Antilles and Guyana), less than 6% at the level of Guadeloupe, and less than 0.5% at the national level. In any case, regardless of the product category concerned, the market share of the new entity, both at the regional and national levels, will remain significantly below the threshold of 20 to 22% of market share retained by decision-making practice to consider the existence of a risk of hindrance to competition.</w:t>
      </w:r>
    </w:p>
    <w:p>
      <w:r>
        <w:t>20. Consequently, the transaction is not likely to harm competition in the supply markets.</w:t>
      </w:r>
    </w:p>
    <w:p>
      <w:r>
        <w:t>2. DOWNSTREAM MARKET OF RETAIL DISTRIBUTION WITH A FOOD DOMINANCE</w:t>
      </w:r>
    </w:p>
    <w:p>
      <w:r>
        <w:t>21. Carcom and Établissements Jacques Nouy do not engage in any retail trade with a food dominance in the market corresponding to a maximum 15-minute drive around the supermarket operated by SED Saint-François. Therefore, the transaction will not result in any overlap of activities in this market.</w:t>
      </w:r>
    </w:p>
    <w:p>
      <w:r>
        <w:t>22. Consequently, the transaction is not likely to harm competition in this downstream market of retail distribution with a food dominance.</w:t>
      </w:r>
    </w:p>
    <w:p>
      <w:r>
        <w:t>B. ANALYSIS OF VERTICAL EFFECTS</w:t>
      </w:r>
    </w:p>
    <w:p>
      <w:r>
        <w:t>23. The acquirers operate in both the upstream supply markets and the wholesale distribution markets for food products, so it is necessary to examine the potential vertical effects that the strengthening of their position in the downstream distribution market will entail. In this regard, it should be noted that the Competition Authority considers it unlikely that a company with a market share of less than 30% in a given market can lock in a downstream or upstream market.</w:t>
      </w:r>
    </w:p>
    <w:p>
      <w:r>
        <w:t>24. However, the position of the parties, following the transaction, in the downstream market of food-dominant distribution across Guadeloupe will be limited to 7.4% of the sales areas in the department (of which 1.9% for the target store).</w:t>
      </w:r>
    </w:p>
    <w:p>
      <w:r>
        <w:t>25. Similarly, the activities of Carcom, Établissements Jacques Nouy, and their subsidiaries, both in the wholesale distribution markets for food products and in the upstream supply markets, are too modest to raise a risk of vertical effect. Indeed, the market shares of the notifying parties in the supply markets, even limited to Guadeloupe, remain below 6%. Furthermore, even though the parties did not produce market shares corresponding to their activities at the wholesale distribution stage of food products, they specify that these are very limited and represent less than 10% of the Guadeloupean market, both in terms of traditional wholesale trade and cash &amp; carry.</w:t>
      </w:r>
    </w:p>
    <w:p>
      <w:r>
        <w:t>26. Consequently, the transaction is not likely to harm competition through vertical effects.</w:t>
      </w:r>
    </w:p>
    <w:p>
      <w:r>
        <w:t>DECIDES</w:t>
      </w:r>
    </w:p>
    <w:p>
      <w:r>
        <w:t>Sole Article: The transaction notified under number 11-0180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