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https://www.autoritedelaconcurrence.fr/fr/decision-de-controle-des-concentrations/relative-la-creation-de-deux-entreprises-communes-par</w:t>
      </w:r>
    </w:p>
    <w:p>
      <w:r>
        <w:t>Pages translated : 5</w:t>
      </w:r>
    </w:p>
    <w:p/>
    <w:p>
      <w:r>
        <w:rPr>
          <w:b/>
        </w:rPr>
        <w:t>[Pages 1–3]</w:t>
      </w:r>
    </w:p>
    <w:p>
      <w:r>
        <w:t xml:space="preserve">FRENCH REPUBLIC  </w:t>
        <w:br/>
        <w:t xml:space="preserve">Decision No. 10-DCC-132 of October 11, 2010  </w:t>
        <w:br/>
        <w:t xml:space="preserve">regarding the creation of two joint ventures by DomusVi and GDP Vendôme  </w:t>
        <w:br/>
        <w:t xml:space="preserve">The Competition Authority,  </w:t>
        <w:br/>
        <w:t xml:space="preserve">Having regard to the notification file submitted to the merger service on June 10, 2010, and declared complete on September 6, 2010, regarding the creation of two joint ventures by DomusVi and GDP Vendôme, formalized by a memorandum of understanding dated February 18, 2010, amended by an addendum dated June 2, 2010;  </w:t>
        <w:br/>
        <w:t xml:space="preserve">Having regard to Book IV of the Commercial Code relating to the freedom of prices and competition, and in particular its Articles L. 430-1 to L. 430-7;  </w:t>
        <w:br/>
        <w:t xml:space="preserve">Having regard to the supplementary elements provided by the parties during the investigation;  </w:t>
        <w:br/>
        <w:t xml:space="preserve">Adopts the following decision:  </w:t>
        <w:br/>
        <w:t xml:space="preserve">I. The concerned companies and the operation  </w:t>
        <w:br/>
        <w:t xml:space="preserve">1. THE PARTIES  </w:t>
        <w:br/>
        <w:t>1. DomusVi, a simplified joint-stock company, is active in the healthcare and medico-social sector, both at home and in establishments, for elderly persons. It is controlled by Mr. Yves Journel through the holding company DV Holding, in which Caisse d’Epargne, MACIF, and Vivalto are also minority shareholders. DomusVi conducts its activity through several wholly-owned operating companies, grouping 107 reception structures in France (75 establishments for dependent elderly persons (hereinafter "EHPAD"), 5 service residences, 4 short-stay clinics, 6 rehabilitation and functional rehabilitation establishments (hereinafter "SSR"), and 17 home care agencies that can be coupled with home nursing services (hereinafter "SSIA") and 18 structures in Canada (via the wholly-owned company Sedna). Sagesse and DomusVi hold a stake of [50-60]% and [20-30]%, respectively, in the civil company of investor executives of HPCA (Private Hospitals of Côte d’Azur) which operates 2 Medicine Surgery clinics (hereinafter "MC") and 2 SSR clinics.</w:t>
      </w:r>
    </w:p>
    <w:p>
      <w:r>
        <w:t>2. GDP Vendôme, a limited liability company, is active in the sector of elderly care and is present in the medico-social sector (EHPAD), in the housing sector (service residences), and owns an establishment in the healthcare sector. It is 99% owned by Mr. Jean-François Gobertier. GDP Vendôme also operates, through its wholly-owned subsidiary Dolcéa, in the construction, acquisition, and management of medicalized residences (namely, in France, 113 EHPAD, 4 service residences, and 1 SSR establishment). It also holds 100% of the operational management companies of the residences and 100% of GDP Promotion, which handles the real estate promotion activity of the GDP Vendôme group. Finally, it wholly owns three other subsidiaries: Lagedor (coordination of quality actions in light of regulatory developments), Formation Médicis (professional training provider), and Operalia (a company dedicated to hotel projects).</w:t>
      </w:r>
    </w:p>
    <w:p>
      <w:r>
        <w:t xml:space="preserve">2. THE CONCERNED OPERATION  </w:t>
        <w:br/>
        <w:t xml:space="preserve">3. The present operation consists of the simultaneous and interdependent creation by DomusVi and GDP Vendôme of two fully operational joint ventures, the first, named DVD Participation, will engage in the operation of reception structures for elderly persons (EHPAD and service residences), and the second, named DVD Gestion, will carry out management and support service activities for these structures.  </w:t>
        <w:br/>
        <w:t xml:space="preserve">4. Under the terms of the memorandum of understanding dated February 18, 2010, amended by an addendum dated June 2, 2010, as well as the parties' statements, DomusVi and GDP Vendôme will transfer to DVD Participation all existing assets of EHPAD and service residences as well as the SSR of the GDP Vendôme group. Consequently, following the operation, DomusVi and GDP Vendôme will no longer be present in these sectors of activity. Furthermore, DomusVi and GDP Vendôme will transfer to DVD Gestion all companies exercising management and support service activities. It is also planned that, as of July 1, 2012, the scope of activities of DVD Participation will be extended to all or part of the activities of HPCA's Canadian subsidiary, SSR, and home care services of DomusVi, as well as the real estate and development projects of each of the parent companies.  </w:t>
        <w:br/>
        <w:t xml:space="preserve">5. DVD Participation and DVD Gestion will be directly held 50% by DomusVi and 50% by GDP Vendôme. However, companies controlled by more than 67% of the capital and voting rights by DomusVi and GDP Vendôme may hold shares in the joint companies without changing the overall distribution between the DomusVi and GDP Vendôme groups. It appears from the elements provided by the parties that DomusVi and GDP Vendôme will exercise joint control over the two joint companies.  </w:t>
        <w:br/>
        <w:t xml:space="preserve">6. DVD Participation and DVD Gestion have all the necessary resources to operate independently in a market and, in particular, all structural elements for the functioning of autonomous companies (personnel, intangible assets, etc.), thus they are intended to sustainably perform all the functions of an autonomous economic entity.  </w:t>
        <w:br/>
        <w:t xml:space="preserve">7. Finally, the creations of DVD Participation and DVD Gestion are interdependent and constitute a single concentration operation in that they pursue the realization of the same economic objective of offering a diversity of care options for elderly persons based on their level of dependency, that the transfer of assets from the operational companies to DVD Participation cannot be envisaged without the simultaneous transfer of activities, management companies, and support services to DVD Gestion, and that they are created by a single protocol.  </w:t>
        <w:br/>
        <w:t xml:space="preserve">8. As it results in the creation of two joint ventures that perform all the functions of an autonomous economic entity on a lasting basis by DomusVi and GDP Vendôme, with both creations being linked, the notified operation constitutes a concentration within the meaning of Article L. 430-1 of the Commercial Code.  </w:t>
        <w:br/>
        <w:t xml:space="preserve">9. The companies concerned together achieve a total global turnover of more than 150 million euros (DomusVi: 403.7 million euros; GDP Vendôme: 335.4 million euros). Each achieves, in France, a turnover exceeding 50 million euros (DomusVi: 311.7 million; GDP Vendôme: the turnover mentioned above is entirely generated in France). Given these turnover figures of the concerned companies,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  </w:t>
        <w:br/>
        <w:t xml:space="preserve">II. Definition of the relevant markets  </w:t>
        <w:br/>
        <w:t xml:space="preserve">10. Regarding the accommodation and care activities for elderly persons that will be transferred to the created joint ventures, decision-making practice has identified the existence of two relevant markets: that of long-term accommodation for elderly persons and that of post-acute care and rehabilitation centers (SSR).  </w:t>
        <w:br/>
        <w:t>11. Furthermore, DomusVi will remain present in the markets (i) of home care activities, (ii) of diagnostic and care services in healthcare establishments, and (iii) of SSR. GDP Vendôme will remain present in the real estate services market. Decision-making practice has already had the opportunity to rule on the delimitation of these markets, with the exception of home care activities. However, considering the limited market shares of the parties in these various markets (in any case, below 12%) and the fact that the parent companies are not simultaneously present in the same market, the present operation is not likely to harm competition in any of these markets, regardless of the delimitation retained.</w:t>
      </w:r>
    </w:p>
    <w:p>
      <w:r>
        <w:rPr>
          <w:b/>
        </w:rPr>
        <w:t>[Pages 4–5]</w:t>
      </w:r>
    </w:p>
    <w:p>
      <w:r>
        <w:t xml:space="preserve">1. THE LONG-TERM ACCOMMODATION MARKET FOR ELDERLY PERSONS  </w:t>
        <w:br/>
        <w:t xml:space="preserve">12. This market includes (i) retirement homes or EHPAD (establishments for housing dependent elderly persons), (ii) sheltered housing or service residences which are groups of permanent autonomous housing, in rooms or apartments, offering collective facilities and services whose use is optional, with elderly persons being owners or tenants of their housing, and (iii) long-term care units (USLD) which are medicalized structures intended for the permanent care of very dependent persons.  </w:t>
        <w:br/>
        <w:t xml:space="preserve">13. Decision-making practice has considered that it is not relevant to further segment this market based on the legal status of the establishment or according to the financial contribution required from the elderly person. However, the question of a distinct market for USLD has been raised, insofar as these care units do not exclusively cater to elderly persons (although they predominantly accommodate individuals over 65 years old) and are intended for persons requiring medical follow-up.  </w:t>
        <w:br/>
        <w:t xml:space="preserve">14. In this case, the question may be left open as DomusVi and GDP Vendôme operate EHPAD and service residences but not USLD.  </w:t>
        <w:br/>
        <w:t xml:space="preserve">15. Regarding the geographical delimitation, decision-making practice has retained for the entire territory outside the Paris region, the existence of markets of at most departmental dimension, the criterion for choosing the establishment being the proximity of the establishment to the home of the elderly person or the family reference. As for the Paris region, consideration of the entire region has been contemplated. However, this question may be left open as the conclusions of the competitive analysis would remain unchanged regardless of the delimitation retained.  </w:t>
        <w:br/>
        <w:t xml:space="preserve">2. THE MARKET FOR FOLLOW-UP AND REHABILITATION CENTERS  </w:t>
        <w:br/>
        <w:t xml:space="preserve">16. The SSR market corresponds to a market for the temporary accommodation of dependent persons, particularly after surgical intervention. Consequently, these centers offer a wide range of care: post-operative functional rehabilitation, convalescence, treatment of long-term or chronic conditions. It is conceivable to question the possibility of a finer segmentation of SSR based on the care provided. The question may, in this case, be left open as the conclusions of the competitive analysis remain unchanged.  </w:t>
        <w:br/>
        <w:t>17. Regarding the geographical delimitation, decision-making practice, while leaving the question open, has considered an analysis at the regional level as SSR are placed under the supervision of regional hospitalization agencies that plan their reception capacities.</w:t>
      </w:r>
    </w:p>
    <w:p>
      <w:r>
        <w:t xml:space="preserve">III. Competitive Analysis  </w:t>
        <w:br/>
        <w:t xml:space="preserve">18. Regarding long-term accommodation for elderly persons, DomusVi operates 75 EHPAD in 33 departments and 5 service residences in Vincennes, Versailles, Garches, Bordeaux, and Aix-en-Provence. GDP Vendôme operates 113 EHPAD in 36 departments and 4 service residences in Gironde, Yvelines, Alpes Maritimes, and Ain. The long-term accommodation activities of the parties therefore overlap in the departments of Aisne, Alpes-Maritimes, Bouches-du-Rhône, Charente-Maritime, Haute-Garonne, Gironde, Marne, Nord, Oise, Pas-de-Calais, Rhône, Saône-et-Loire, Vaucluse, and in the Île-de-France region.  </w:t>
        <w:br/>
        <w:t xml:space="preserve">19. Following the operation, the market share of the new entity will be less than 10% in each of these concerned departments. At the level of the Île-de-France region, the new entity has a market share of [5-10]%. The new entity will primarily face competition from the public and non-profit sectors. The main private operators in this sector (Korian, Orpea, and Medica) are also present, except in Pas-de-Calais. The proposed operation is therefore not likely to harm competition in the long-term accommodation market for elderly persons.  </w:t>
        <w:br/>
        <w:t>20. Regarding SSR, DomusVi operates six SSR in the Île-de-France, Centre, and PACA regions. GDP Vendôme operates a single SSR specialized in children and located in the PACA region. Only the activity of GDP Vendôme being transferred to DVD Participations, the operation does not entail any overlap of activities and is therefore not likely to harm competition in this market.</w:t>
      </w:r>
    </w:p>
    <w:p>
      <w:r>
        <w:t xml:space="preserve">DECIDES  </w:t>
        <w:br/>
        <w:t xml:space="preserve">Single Article: The operation notified under number 10-0086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