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https://www.autoritedelaconcurrence.fr/fr/decision-de-controle-des-concentrations/relative-la-creation-de-la-banque-publique-dinvestissement</w:t>
      </w:r>
    </w:p>
    <w:p>
      <w:r>
        <w:t>Pages translated : 7</w:t>
      </w:r>
    </w:p>
    <w:p/>
    <w:p>
      <w:r>
        <w:rPr>
          <w:b/>
        </w:rPr>
        <w:t>[Pages 1–3]</w:t>
      </w:r>
    </w:p>
    <w:p>
      <w:r>
        <w:t xml:space="preserve">FRENCH REPUBLIC  </w:t>
        <w:br/>
        <w:t xml:space="preserve">Decision No. 13-DCC-81 of July 2, 2013  </w:t>
        <w:br/>
        <w:t xml:space="preserve">regarding the creation of the Public Investment Bank,  </w:t>
        <w:br/>
        <w:t xml:space="preserve">joint venture  </w:t>
        <w:br/>
        <w:t>of the French State and the Caisse des Dépôts et Consignations</w:t>
      </w:r>
    </w:p>
    <w:p>
      <w:r>
        <w:t xml:space="preserve">The Competition Authority,  </w:t>
        <w:br/>
        <w:t xml:space="preserve">Having regard to the notification file submitted in full to the concentrations service on May 31, 2013,  </w:t>
        <w:br/>
        <w:t xml:space="preserve">regarding the creation of the Public Investment Bank, a joint venture of the French State and the Caisse des Dépôts et Consignations, formalized by law No. 2012-1559 of December 31, 2012, regarding the creation of the Public Investment Bank (hereinafter "law No. 2012-1559"), ordinance No. 2005-722 of June 29, 2005, regarding the creation of the public establishment Oséo* (hereinafter "ordinance No. 2005-722") as well as by a draft protocol between the CDC and the State on the basis of which a shareholders' agreement will be established;  </w:t>
        <w:br/>
        <w:t xml:space="preserve">Having regard to Book IV of the Commercial Code regarding price freedom and competition, and in particular its Articles L. 430-1 to L. 430-7;  </w:t>
        <w:br/>
        <w:t>Adopts the following decision:</w:t>
      </w:r>
    </w:p>
    <w:p>
      <w:r>
        <w:t xml:space="preserve">I. The companies concerned  </w:t>
        <w:br/>
        <w:t xml:space="preserve">The French State holds the public industrial and commercial establishment Oséo (hereinafter "EPIC Oséo"), created by ordinance No. 2005-722 of June 29, 20051. Under Article 1 of ordinance No. 2005-722 amended by law No. 2012-1559 of December 31, 2012, this establishment aims to promote and support innovation, particularly technological, as well as to contribute to the transfer of technologies and to foster the development and financing of small and medium-sized enterprises. EPIC Oséo controls the public limited company Oséo2 (hereinafter "Oséo")3. Oséo itself owns two subsidiaries, Oséo Régions and Oséo Industrie. Oséo's activity consists of supporting the financing of the growth of French SMEs through its three main activities: co-financing, guarantees, and support for innovation.  </w:t>
        <w:br/>
        <w:t xml:space="preserve">1. The Caisse des Dépôts et Consignations (hereinafter "CDC") is a public institution governed by Articles L. 518-2 et seq. of the Monetary and Financial Code, which fulfills missions of general interest in support of public policies conducted by the State and local authorities (deposits on savings accounts that finance social rental housing and urban renewal, regulated deposits and consignments, pensions, and social security treasury) and which carries out activities open to competition. These are grouped around four poles: (i) personal insurance, (ii) real estate, (iii) services, (iv) development of SMEs and private equity. Established by the law of April 28, 1816, the CDC is placed "under the supervision and guarantee of the legislative authority"4, this mode of governance being intended to ensure the autonomy of this institution which manages private funds requiring special protection.  </w:t>
        <w:br/>
        <w:t xml:space="preserve">2. The CDC controls CDC Entreprises (hereinafter "CDC-E"), a management company approved by the AMF. Since 1994, it has been the management company of the CDC group responsible for all intervention programs concerning minority stakes in small and medium-sized enterprises. Its main activities are investment in funds and direct investment.  </w:t>
        <w:br/>
        <w:t>3. The CDC also controls the Strategic Investment Fund (hereinafter "FSI")5, a public limited company under French law whose purpose is to take stakes in companies whose growth projects are deemed to enhance competitiveness for France. The FSI holds minority stakes in various companies including SAUR, STX France Cruise, TDF, Eiffage, France Telecom, and Aéroports de Paris.</w:t>
      </w:r>
    </w:p>
    <w:p>
      <w:r>
        <w:t xml:space="preserve">II. Controllability of the operation  </w:t>
        <w:br/>
        <w:t xml:space="preserve">4. Law No. 2012-1559 of December 31, 2012, provides for the creation of the Public Investment Bank (hereinafter "BPI"). In view of its establishment, the French State will contribute to the parent company of the BPI (BPI-Groupe), directly or through EPIC Oséo, its stakes in the capital of Oséo and the FSI. For its part, the CDC will contribute to the parent company of the BPI its stakes in the capital of CDC-E, the FSI, Oséo, and Oséo-Régions. Furthermore, in order to balance the stakes between the State and the CDC and to ensure parity in the ownership of BPI Groupe's capital, the French State and the CDC will make additional contributions.  </w:t>
        <w:br/>
        <w:t xml:space="preserve">2 The shareholding of Oséo is as follows: EPIC Oséo (63%), the CDC (27%), and banks (10%).  </w:t>
        <w:br/>
        <w:t xml:space="preserve">3 Oséo became the public limited company BPI-Groupe by law No. 2012-1559 of December 31, 2012.  </w:t>
        <w:br/>
        <w:t xml:space="preserve">4 See Article L. 518-2 of the Monetary and Financial Code.  </w:t>
        <w:br/>
        <w:t>5 The shareholding of the FSI is as follows: the CDC (51%), the French State (49%).</w:t>
      </w:r>
    </w:p>
    <w:p>
      <w:r>
        <w:t xml:space="preserve">5. At the conclusion of the operation, BPI-Groupe will be equally owned by EPIC Oséo, which will become EPIC BPI-Groupe (50%), and the CDC (50%)6. BPI Groupe will be a public limited company with a board of directors governed by the provisions of the Commercial Code, except for provisions that would be derogated by law No. 2012-1559 or ordinance No. 2005-722, aforementioned. As the parent company, it will hold 90% of the capital of BPI Financement, which will consolidate the current activities of Oséo, and 100% of the capital of BPI Investissement, which will consolidate the current activities of the FSI and CDC-E.  </w:t>
        <w:br/>
        <w:t xml:space="preserve">6. The board of directors of BPI-Groupe will be composed of 15 members: four representatives of the State, four members (including the Director General of the CDC) appointed on the proposal of the CDC, two representatives of the regions7, two qualified individuals chosen on the joint proposal of the State and the CDC, due to their expertise in economic and financial matters as well as sustainable development, one qualified individual chosen due to their expertise in economic and financial matters8, and two members elected by the employees of BPI Groupe and its subsidiaries in accordance with the provisions of law No. 83-675 of July 26, 1983.  </w:t>
        <w:br/>
        <w:t xml:space="preserve">7. The protocol provides that [confidential]. According to Annex 1 of the protocol, important decisions include in particular the "approval of the budget and business plan of the Group incorporating the plan of each subsidiary (including the financing plan)" and the "appointment and dismissal of the executives of the subsidiaries." The State and the CDC will therefore have veto rights over the strategic decisions of BPI-Groupe. Furthermore, the protocol expressly provides [confidential]. By exercising their voting rights in a concerted manner, the State and the CDC will jointly hold the majority within the board of directors for the voting of ordinary decisions.  </w:t>
        <w:br/>
        <w:t xml:space="preserve">8. The operation thus entails the transition from exclusive control of the French State (via EPIC Oséo) over Oséo and of the CDC over the FSI and CDC-E to joint control of the State (via EPIC BPI-Groupe) and the CDC (via BPI Groupe) over these three companies, constituting the BPI. The notified operation therefore constitutes a concentration within the meaning of Article L. 430-1 of the Commercial Code.  </w:t>
        <w:br/>
        <w:t xml:space="preserve">9. Regarding the calculation of the turnover of public enterprises, only those companies belonging to the same economic entity with the same autonomous decision-making power, regardless of the ownership of their capital or the rules of administrative tutelage applicable to them, are taken into account, and not all companies owned by the State9. When a public enterprise is not subject to any coordination with other groups controlled by the State, it should be treated as an autonomous group for the purposes of calculating turnover and the turnover of other companies owned by the State should not be taken into account. Conversely, when several public enterprises fall under an autonomous center of commercial decision-making, the turnover of all these enterprises should be taken into account.  </w:t>
        <w:br/>
        <w:t xml:space="preserve">10. In this case, the State also holds in the same sector the group La Banque Postale (hereinafter "LBP"). LBP is a banking group, a subsidiary of the La Poste group, active in the banking (with retail banking and asset management activities) and insurance sectors.  </w:t>
        <w:br/>
        <w:t xml:space="preserve">6 EPIC BPI-Groupe is the recipient of the missions of general interest entrusted to it by ordinance No. 2005-722 as amended by law No. 2012-1559  </w:t>
        <w:br/>
        <w:t xml:space="preserve">7 Appointed by decree on the proposal of an association representing all regions.  </w:t>
        <w:br/>
        <w:t xml:space="preserve">8 Appointed by decree to serve as the Director General of BPI-Groupe.  </w:t>
        <w:br/>
        <w:t>9 See §§192 and following of the consolidated communication on the competence of the Commission under regulation No. 139/2004.</w:t>
      </w:r>
    </w:p>
    <w:p>
      <w:r>
        <w:rPr>
          <w:b/>
        </w:rPr>
        <w:t>[Pages 4–6]</w:t>
      </w:r>
    </w:p>
    <w:p>
      <w:r>
        <w:t>LBP is 100% owned by the La Poste Group, whose parent company, La Poste SA, is jointly controlled by the French State (77.1%) and the CDC (22.9%).</w:t>
      </w:r>
    </w:p>
    <w:p>
      <w:r>
        <w:t>11. However, it is not necessary in this case to determine whether the BPI will have autonomous decision-making power or will be coordinated with LBP. The operation does not, in any event, have a Community dimension, as the companies concerned achieve more than two-thirds of their turnover in France. And the conclusions of the competitive analysis remain unchanged, regardless of the hypothesis considered.</w:t>
      </w:r>
    </w:p>
    <w:p>
      <w:r>
        <w:t>12. The companies concerned together achieve a total worldwide turnover of more than 150 million euros (EPIC Oséo on behalf of the State: […] euros for the fiscal year ending December 31, 2011*; CDC: […] euros for the same period). At least two of these companies achieve in France a turnover exceeding 50 million euros (EPIC Oséo on behalf of the State: […] euros for the fiscal year ending December 31, 2011*; CDC: […] euros for the same year). Given these turnover figures, the thresholds set by Article 1, paragraph 2, a) and b) of Council Regulation (EC) No. 139/2004 of January 20, 2004 are met. Nevertheless, since the CDC and EPIC Oséo achieve more than two-thirds of their turnover in France,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w:t>
      </w:r>
    </w:p>
    <w:p>
      <w:r>
        <w:t>III. Definition of Relevant Markets</w:t>
      </w:r>
    </w:p>
    <w:p>
      <w:r>
        <w:t>13. EPIC Oséo, the FSI, and CDC-E are active in different markets in the banking sector, with the exception of retail banking. Furthermore, LBP and the CDC are also active in the banking services sectors.</w:t>
      </w:r>
    </w:p>
    <w:p>
      <w:r>
        <w:t>A. BANKING SERVICES</w:t>
      </w:r>
    </w:p>
    <w:p>
      <w:r>
        <w:t>1. MARKETS FOR PRODUCTS AND SERVICES</w:t>
      </w:r>
    </w:p>
    <w:p>
      <w:r>
        <w:t>14. Community and national decision-making practice distinguishes three categories of services:</w:t>
        <w:br/>
        <w:t>- operations on financial markets (investment and financing banking);</w:t>
        <w:br/>
        <w:t>- banking services for businesses (commercial banking);</w:t>
        <w:br/>
        <w:t>- banking services for individuals and households (retail banking).</w:t>
      </w:r>
    </w:p>
    <w:p>
      <w:r>
        <w:t>a) Investment and Financing Banking</w:t>
      </w:r>
    </w:p>
    <w:p>
      <w:r>
        <w:t>15. Investment and financing banking encompasses operations on financial markets. National11 and Community12 competition authorities distinguish the markets for asset management, mergers and acquisitions advisory, placement and underwriting activities related to corporate securities issuance, activities and transactions on financial markets, and activities on money markets.</w:t>
      </w:r>
    </w:p>
    <w:p>
      <w:r>
        <w:t>16. Within the asset management market, a distinction has been made between portfolio management, mutual fund management, and private equity13:</w:t>
        <w:br/>
        <w:t>- portfolio management (excluding real estate assets and excluding UCITS) consists of optimizing the financial return of a portfolio of securities (stocks and/or bonds) held by a client;</w:t>
        <w:br/>
        <w:t>- mutual fund management of the UCITS type consists of managing this type of collective investment fund on behalf of businesses and institutional investors;</w:t>
        <w:br/>
        <w:t>- private equity activity consists of an investor entering the capital of unlisted companies that need an injection of equity. Several forms of intervention can be distinguished, namely venture capital to finance the startup of new businesses, development capital to finance the growth of the company, transmission capital (or LBO) intended to support the transfer or sale of the company, and turnaround capital to assist in the recovery of a distressed company.</w:t>
      </w:r>
    </w:p>
    <w:p>
      <w:r>
        <w:t>17. LBP and, among the entities grouped within BPI Groupe, CDC-E operate in the investment and financing banking sector. CDC-E and LBP simultaneously intervene in private equity in the segments of venture capital and development capital.</w:t>
      </w:r>
    </w:p>
    <w:p>
      <w:r>
        <w:t>b) Commercial Banking</w:t>
      </w:r>
    </w:p>
    <w:p>
      <w:r>
        <w:t>18. Commercial banking encompasses banking services aimed at businesses. In previous decisions, the European Commission14 and the Competition Authority15 have questioned, while leaving the issue open, the segmentation of commercial banking markets based on the size of client companies (SMEs or large enterprises). Similarly, the Competition Authority had considered segmenting the market according to sectors of activity, notably distinguishing a market for credit to farmers.</w:t>
      </w:r>
    </w:p>
    <w:p>
      <w:r>
        <w:t>However, in the absence of any impact on the competitive analysis, the precise delineation of the markets can be left open.</w:t>
      </w:r>
    </w:p>
    <w:p>
      <w:r>
        <w:t>19. Regarding segmentation by type of services, the Competition Authority16 distinguished the following markets: the market for sight deposits, the market for corporate savings, the market for investment credits, the market for real estate credit to professionals, the market for leasing, the market for credit to local authorities, the market for credit insurance, the market for financing foreign trade, the market for payment cards (acquisition of transactions made by merchants equipped with card payment systems), the market for international payments, the market for remote local payments, the market for short-term (financing) products, the market for factoring, the market for custody, and the market for fund administration. There is no need, in the context of this operation, to challenge this delineation.</w:t>
      </w:r>
    </w:p>
    <w:p>
      <w:r>
        <w:t>20. In this case, only Oséo and LBP operate in the segments of investment credits and leasing for movable and real estate assets.</w:t>
      </w:r>
    </w:p>
    <w:p>
      <w:r>
        <w:t>2. GEOGRAPHICAL MARKETS</w:t>
      </w:r>
    </w:p>
    <w:p>
      <w:r>
        <w:t>21. Regarding the markets for investment and financing banking, competition authorities17 generally consider that these markets have at least a European dimension. In this case, the parties to the operation provided their market shares at the national level on the grounds that they are essentially active in France. In any event, in the absence of any competitive difficulties, the question of the exact geographical definition of these markets can be left open.</w:t>
      </w:r>
    </w:p>
    <w:p>
      <w:r>
        <w:t>22. Regarding the markets for commercial banking, the Competition Authority considered18 that it was relevant to conduct the competitive analysis at both a national and a local level. In this case, the entities grouped within the BPI do not have, at the local level, a network of commercial banking branches. The competitive analysis will therefore only be conducted at the national level.</w:t>
      </w:r>
    </w:p>
    <w:p>
      <w:r>
        <w:t>IV. Competitive Analysis</w:t>
      </w:r>
    </w:p>
    <w:p>
      <w:r>
        <w:t>23. The operation does not result in overlaps in activity between the entities that will be grouped within BPI-Groupe. Oséo is only active in certain markets of commercial banking while CDC-E and FSI operate solely in certain markets of investment and financing banking. The FSI also holds minority stakes in companies whose sectors of activity do not overlap with those of Oséo. Moreover, the different entities contributed to the BPI are not active in upstream, downstream, or related markets to each other.</w:t>
      </w:r>
    </w:p>
    <w:p>
      <w:r>
        <w:rPr>
          <w:b/>
        </w:rPr>
        <w:t>[Pages 7–7]</w:t>
      </w:r>
    </w:p>
    <w:p>
      <w:r>
        <w:t>24. The only identifiable overlaps between the activities contributed to the BPI and the other activities of the notifying parties result from the control held by the State and the CDC in LBP, this operation having already received authorization from the Competition Authority19. However, in the markets of investment and financing banking, the market shares of CDC-E and LBP remain below 20% and the market share increment remains modest. In the banking services markets, at the national level, the market shares of Oséo and LBP in the investment credit market and in the market for movable and real estate leasing remain below 10%.</w:t>
      </w:r>
    </w:p>
    <w:p>
      <w:r>
        <w:t>25. Therefore, the operation is not likely to harm competition in the banking services markets.</w:t>
      </w:r>
    </w:p>
    <w:p>
      <w:r>
        <w:t>DECIDES</w:t>
        <w:br/>
        <w:t>Sole Article: The operation notified under number 13-072 is authorized.</w:t>
        <w:br/>
        <w:t>The President,</w:t>
        <w:br/>
        <w:t>Bruno Lasserre</w:t>
        <w:br/>
        <w:t>© Competition Authority</w:t>
        <w:br/>
        <w:t>19 Decision no. 11-DC-32 of February 22, 2011, regarding the joint control of the La Poste group by the Caisse des Dépôts et Consignations and the French State.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