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https://www.autoritedelaconcurrence.fr/fr/decision-de-controle-des-concentrations/relative-la-creation-de-la-societe-beaumex-par-les-societes</w:t>
      </w:r>
    </w:p>
    <w:p>
      <w:r>
        <w:t>Pages translated : 2</w:t>
      </w:r>
    </w:p>
    <w:p/>
    <w:p>
      <w:r>
        <w:rPr>
          <w:b/>
        </w:rPr>
        <w:t>[Pages 1–2]</w:t>
      </w:r>
    </w:p>
    <w:p>
      <w:r>
        <w:t xml:space="preserve">FRENCH REPUBLIC  </w:t>
        <w:br/>
        <w:t xml:space="preserve">Decision No. 26-DCC-144 of July 2, 2026  </w:t>
        <w:br/>
        <w:t xml:space="preserve">regarding the creation of the company Beaumex by the companies Milag, Xylea, and ITM Entreprises  </w:t>
        <w:br/>
        <w:t xml:space="preserve">The Competition Authority,  </w:t>
        <w:br/>
        <w:t xml:space="preserve">Having regard to the complete notification file submitted to the mergers department on June 17, 2026, concerning the creation of a full-function joint venture named Beaumex by the companies Milag and Xylea, alongside the company ITM Entreprises, formalized by the signing of its statutes on June 12, 2026;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creation of a full-function joint venture, jointly controlled by the companies Milag, Xylea, and ITM Entreprises, which will hold a preferred share within the capital. Named Beaumex, this company aims to create and operate a service station business under the Intermarché brand, in Beaumont-sur-Oise (95). The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26-137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