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https://www.autoritedelaconcurrence.fr/fr/decision-de-controle-des-concentrations/relative-la-creation-de-lentreprise-commune-cashmire-par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23-DCC-232 of November 28, 2023  </w:t>
        <w:br/>
        <w:t xml:space="preserve">regarding the creation of the joint venture Cashmire by the  </w:t>
        <w:br/>
        <w:t xml:space="preserve">companies Niconos and ITM Entreprises  </w:t>
        <w:br/>
        <w:t>The Competition Authority,</w:t>
      </w:r>
    </w:p>
    <w:p>
      <w:r>
        <w:t xml:space="preserve">Having regard to the complete notification file sent to the mergers department on November 8, 2023,  </w:t>
        <w:br/>
        <w:t xml:space="preserve">concerning the creation of the joint venture Cashmire by the companies Niconos and ITM  </w:t>
        <w:br/>
        <w:t>Entreprises, formalized by a transfer protocol dated July 27, 2023;</w:t>
      </w:r>
    </w:p>
    <w:p>
      <w:r>
        <w:t xml:space="preserve">Having regard to Book IV of the Commercial Code relating to the freedom of prices and competition, and  </w:t>
        <w:br/>
        <w:t>notably its Articles L. 430-1 to L. 430-7;</w:t>
      </w:r>
    </w:p>
    <w:p>
      <w:r>
        <w:t xml:space="preserve">Adopts the following decision:  </w:t>
        <w:br/>
        <w:t xml:space="preserve">1. The notified operation consists of the creation of the joint venture named Cashmire by  </w:t>
        <w:br/>
        <w:t xml:space="preserve">the company Niconos and the company ITM Entreprises. The company Cashmire is to operate a retail  </w:t>
        <w:br/>
        <w:t xml:space="preserve">sales outlet, specialized in the sale of DIY items, with an area of  </w:t>
        <w:br/>
        <w:t xml:space="preserve">2,785 m², under the brand "Brico Cash" located in Le Gua (17600). The operation constitutes a  </w:t>
        <w:br/>
        <w:t xml:space="preserve">concentration operation within the meaning of Article L. 430-1 of the Commercial Code. Given the  </w:t>
        <w:br/>
        <w:t xml:space="preserve">turnover generated by the companies concerned, the operation does not fall under the  </w:t>
        <w:br/>
        <w:t xml:space="preserve">jurisdiction of the European Union. On the other hand, the retail control thresholds mentioned in II of  </w:t>
        <w:br/>
        <w:t xml:space="preserve">Article L. 430-2 of the Commercial Code are exceeded. The present operation is therefore subject to the  </w:t>
        <w:br/>
        <w:t xml:space="preserve">provisions of Articles L. 430-3 and following of the Commercial 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23-257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