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https://www.autoritedelaconcurrence.fr/fr/decision-de-controle-des-concentrations/relative-la-creation-de-lunion-mutualiste-de-groupe-viamut</w:t>
      </w:r>
    </w:p>
    <w:p>
      <w:r>
        <w:t>Pages translated : 6</w:t>
      </w:r>
    </w:p>
    <w:p/>
    <w:p>
      <w:r>
        <w:rPr>
          <w:b/>
        </w:rPr>
        <w:t>[Pages 1–3]</w:t>
      </w:r>
    </w:p>
    <w:p>
      <w:r>
        <w:t xml:space="preserve">FRENCH REPUBLIC  </w:t>
        <w:br/>
        <w:t xml:space="preserve">Decision No. 13-DCC-127 of September 4, 2013  </w:t>
        <w:br/>
        <w:t xml:space="preserve">regarding the creation of the Union Mutualiste de Groupe Viamut by the  </w:t>
        <w:br/>
        <w:t xml:space="preserve">Mutuelle Entrain and the Mutuelle Générale des Cheminots  </w:t>
        <w:br/>
        <w:t xml:space="preserve">The Competition Authority,  </w:t>
        <w:br/>
        <w:t xml:space="preserve">Having regard to the notification file submitted in full to the concentrations service on July 31, 2013,  </w:t>
        <w:br/>
        <w:t xml:space="preserve">regarding the creation of the Union Mutualiste de Groupe Viamut by the Mutuelle Entrain and the  </w:t>
        <w:br/>
        <w:t xml:space="preserve">Mutuelle Générale des Cheminots, formalized by a draft statute and an affiliation agreement to the Union Mutualiste de Groupe Viamut, approved during the general assemblies of the Mutuelle Générale des Cheminots on June 14, 2013, and of the Mutuelle Entrain on June 27, 2013;  </w:t>
        <w:br/>
        <w:t xml:space="preserve">Having regard to Book IV of the Commercial Code relating to price freedom and competition, and in particular its Articles L. 430-1 to L. 430-7;  </w:t>
        <w:br/>
        <w:t xml:space="preserve">Adopts the following decision:  </w:t>
        <w:br/>
        <w:t xml:space="preserve">I. The companies concerned and the operation  </w:t>
        <w:br/>
        <w:t xml:space="preserve">1. The Mutuelle Entrain (hereinafter "Entrain") is a mutual insurance company governed by the provisions of Book II of the Code de la Mutualité, which groups together 9 regional mutuals. It primarily conducts individual complementary health operations. It provides insurance benefits under branches 1 (accident) and 2 (illness) and also distributes individual provident insurance products (funeral, accidents, hospitalization, loss of premiums) and daily life assistance services on behalf of third parties.  </w:t>
        <w:br/>
        <w:t>2. The Mutuelle Générale des Cheminots (hereinafter "MGC") is a mutual insurance company subject to the provisions of Book II of the Code de la Mutualité. It primarily conducts individual complementary health operations in addition to the special regime of the SNCF or a mandatory basic regime. It provides insurance benefits under branches 1 (accident) and 2 (illness) and operates in the field of individual provident insurance under branch 20 (life-death). It also distributes individual provident insurance products (survivor's pension and funeral products) and assistance insurance on behalf of third parties.</w:t>
      </w:r>
    </w:p>
    <w:p>
      <w:r>
        <w:t xml:space="preserve">3. The parties to the operation plan to establish a Union Mutualiste de Groupe (hereinafter "UMG") in order to create financial solidarity links between them and to gather the means, resources, and organizations necessary for the implementation of common projects.  </w:t>
        <w:br/>
        <w:t xml:space="preserve">4. UMGs are a legal form of enterprise introduced by Law No. 2008-776 of August 4, 2008, in the Code de la Mutualité. According to the provisions of the new Article L. 111-4-2 of this code, a UMG is an enterprise whose main activity consists of "taking and managing holdings, within the meaning of 2° of the same Article L. 212-7-1, in enterprises subject to State control pursuant to Article L. 310-1 or Article L. 310-1-1 of the Code des Assurances, or in insurance or reinsurance enterprises whose registered office is located outside France, or to establish and manage significant and lasting financial solidarity links with mutuals or unions governed by Book II of this code, provident institutions or unions governed by Title III of Book IX of the Social Security Code, mutual insurance companies governed by the Code des Assurances, or insurance or reinsurance enterprises in mutual or cooperative form or jointly managed with their registered office in a Member State of the European Community or in another State party to the agreement on the European Economic Area." The same Article L. 111-4-2 adds that "when the UMG has, with an affiliated organization, significant and lasting financial solidarity links that do not result from holdings within the meaning of 2° of Article L. 212-7-1, these links are defined by an affiliation agreement."  </w:t>
        <w:br/>
        <w:t xml:space="preserve">5. In this case, the draft statute and affiliation agreement of the UMG, named "Viamut," provide for a mechanism of financial solidarity between it and its affiliated companies, the benefit of which may be triggered either at the initiative of the UMG or requested by the affiliated company in the event of deterioration of its financial situation that may lead to non-compliance with its capital requirements or in the event of significant cash flow difficulties. UMG Viamut will publish combined accounts, equivalent to consolidated accounts, based on the accounts of the affiliated companies.  </w:t>
        <w:br/>
        <w:t xml:space="preserve">6. The draft statute also provides that UMG Viamut will aim to promote strategic coherence among its members. Specifically, the affiliated companies will be required to seek the authorization of the board of directors of UMG Viamut for a number of decisions likely to significantly affect their situation, such as those relating to the volume of contributions, the structure of the commercial offer, or the risk incurred. Similarly, for any changes concerning their management, their offer, and their pricing grid, as well as for the sale of asset elements for an amount exceeding 10% of their mutual funds and reserves, the affiliated companies will be required to inform the bodies of UMG Viamut in advance. In the event of non-compliance with these commitments by an affiliated member, UMG Viamut will have the power to impose sanctions.  </w:t>
        <w:br/>
        <w:t xml:space="preserve">7. Furthermore, UMG Viamut aims to gather the means, resources, and organizations necessary for the implementation of common projects and to undertake any action likely to contribute to the improvement of the offer of its affiliates. It will thus develop a common offer under the Viamut brand.  </w:t>
        <w:br/>
        <w:t xml:space="preserve">8. Finally, the draft statute of UMG Viamut provides that its general assembly will be composed of sixteen delegates for each of the founding members (Entrain and MGC) and one delegate per affiliated member, each delegate having one vote. The general assembly will have the authority to designate, by simple majority, the twelve members of the board of directors as well as to deliberate, under the same conditions, on the activities carried out by UMG Viamut and on the amount of the establishment fund, the contribution rates, and the benefits offered. The board of directors implements the orientations decided by the general assembly of UMG Viamut and adopts decisions that are not expressly reserved for the general assembly by the draft statute. The board of directors is composed of two colleges: the college of founding members, which includes ten seats equally divided between Entrain and MCG, and the college of affiliated members, which will have two seats to be allocated. The board of directors adopts its decisions by a majority of members if at least two-thirds of its members are present. Currently, Entrain and MGC each appoint half of the members of the general assembly and the board of directors of UMG Viamut and thus both have the power to block all decisions adopted by these bodies.  </w:t>
        <w:br/>
        <w:t xml:space="preserve">9. Given all these elements, the establishment of UMG Viamut is analyzed as the combination of activities of previously independent companies within a single economic entity, endowed with a unique and sustainable economic management power, which will be jointly controlled by Entrain and MGC. Consequently, this operation constitutes a concentration within the meaning of Article L. 430-1 of the Commercial Code.  </w:t>
        <w:br/>
        <w:t xml:space="preserve">10. The companies concerned achieved a consolidated turnover excluding taxes worldwide of more than 150 million euros in 2012 (Entrain: […] euros for the fiscal year ending December 31, 2012; MGC: […] euros for the same fiscal year). Each of these companies achieved, in France, a turnover exceeding 50 million euros (Entrain: […] euros for the fiscal year ending December 31, 2012; MGC: […] euros for the same fiscal year).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A. THE PRODUCT MARKETS  </w:t>
        <w:br/>
        <w:t xml:space="preserve">11. Entrain and MGC are present both upstream in the "production" market of insurance and downstream in the market for the distribution of insurance products on behalf of third parties.  </w:t>
        <w:br/>
        <w:t xml:space="preserve">1. THE INSURANCE PRODUCT MARKETS  </w:t>
        <w:br/>
        <w:t>12. National and community decision-making practice consistently distinguishes reinsurance activities from insurance activities.</w:t>
      </w:r>
    </w:p>
    <w:p>
      <w:r>
        <w:rPr>
          <w:b/>
        </w:rPr>
        <w:t>[Pages 4–6]</w:t>
      </w:r>
    </w:p>
    <w:p>
      <w:r>
        <w:t xml:space="preserve">13. With regard to insurance activities, a distinction has been made between personal insurance and property and liability insurance, each of which can in turn be segmented into as many markets as there are insurances covering different types of risks. Finally, additional segmentations have been considered within personal insurance between group insurance contracts and individual insurance contracts and, within property and liability insurance, between insurance for individuals and insurance for professionals.  </w:t>
        <w:br/>
        <w:t xml:space="preserve">14. Concerning the geographical delimitation of markets, with the exception of certain insurances covering large-scale risks, the insurance product markets have been considered as being of national dimension given consumer preferences, the existence of national legislation and tax constraints, the current structure of these markets, and regulatory systems.  </w:t>
        <w:br/>
        <w:t xml:space="preserve">15. In this case, the parties to the operation are simultaneously active in personal insurance in the markets for collective and individual complementary health insurance, which aim to supplement the benefits offered by mandatory health insurance schemes. The covered risk corresponds to the costs not covered by social security incurred for medical treatment. Complementary reimbursements depend on the benefits of the legal social security scheme.  </w:t>
        <w:br/>
        <w:t xml:space="preserve">16. There is no need to challenge these delimitations in the context of the present operation.  </w:t>
        <w:br/>
        <w:t xml:space="preserve">2. MARKETS FOR THE DISTRIBUTION OF INSURANCE PRODUCTS ON BEHALF OF THIRD PARTIES  </w:t>
        <w:br/>
        <w:t xml:space="preserve">17. The distribution of insurance products involves marketing and ensuring the administrative management of guarantees or insurance contracts whose risk is borne by third-party insurers. Both community and national competition authorities have left the question of the precise delimitation of markets in this sector open, with several segmentations being considered.  </w:t>
        <w:br/>
        <w:t xml:space="preserve">18. A broad market for the distribution of insurance products by independent intermediaries, including all distribution channels (agents, brokers, and other intermediaries such as banks), with the exception of direct distribution by insurance companies, has thus been identified.  </w:t>
        <w:br/>
        <w:t xml:space="preserve">19. The markets for the distribution of insurance products can also be segmented based on the category of insured risks (property insurance and personal insurance) and according to the clientele (businesses or individuals).  </w:t>
        <w:br/>
        <w:t xml:space="preserve">20. In this case, the parties to the operation are simultaneously active in the markets for the distribution on behalf of third parties of provident and assistance insurance products: and Spheria Val-de-France by Harmonie Mutuelle and No. 12-DCC-93 of June 29, 2012, concerning the merger of the Mornay group, the D&amp;O group, and the interdepartmental mutual federation of the Paris region.  </w:t>
        <w:br/>
        <w:t xml:space="preserve">5 See, for example, the decisions of the European Commission COMP/M.5083 - GROUPAMA / OTP GARANCIA of April 15, 2008, and COMP/M.3556 - FORTIS / BCP cited above, as well as the decisions of the Competition Authority No. 09-DCC-16 of June 22, 2009, concerning the merger between the Caisse d’Epargne and Banque Populaire groups and No. 12-DCC-93 cited above.  </w:t>
        <w:br/>
        <w:t xml:space="preserve">6 See the letters from the Minister of Economy dated October 28, 2008, to the advisors of the Mutuelle Harmonie Mutualité company and dated August 21, 2007, to the advisors of the AG2R Prévoyance provident institute and the La Mondiale company.  </w:t>
        <w:br/>
        <w:t xml:space="preserve">7 See, for example, the letter from the Minister of Economy No. C2008-77 of October 28, 2008, to the advisors of the Mutuelle Harmonie Mutualité company, as well as the decisions of the Competition Authority No. 10-DCC-138 of October 19, 2010, and No. 12-DCC-111 cited above.  </w:t>
        <w:br/>
        <w:t xml:space="preserve">- the provident market, which includes insurance products intended to cover beneficiaries against loss of income in the event of accident, death, long-term illness, disability, incapacity, or job loss through the payment of compensation in the form of a capital sum or annuity. The covered risk is that of an unpredictable loss of income suffered by the beneficiary or their heirs;  </w:t>
        <w:br/>
        <w:t xml:space="preserve">- the assistance market, which includes cash or in-kind benefits aimed at helping the insured when faced with an unforeseen event.  </w:t>
        <w:br/>
        <w:t xml:space="preserve">21. Regarding their geographical delimitations, the markets for the distribution of insurance products have been considered essentially as being of national dimension.  </w:t>
        <w:br/>
        <w:t xml:space="preserve">22. The question of the exact delimitation of the markets for the distribution of insurance products will be left open insofar as, regardless of the delimitation retained, the conclusions of the competitive analysis remain unchanged.  </w:t>
        <w:br/>
        <w:t xml:space="preserve">III. Competitive Analysis  </w:t>
        <w:br/>
        <w:t xml:space="preserve">A. MARKETS FOR INSURANCE PRODUCTS  </w:t>
        <w:br/>
        <w:t xml:space="preserve">23. The parties to the operation are both active in personal insurance in the markets for collective and individual complementary health insurance. The notifying party estimates that the combined market share of MGC and Entrain is below [0-5]% in both the collective complementary health insurance segment and the individual complementary health insurance segment.  </w:t>
        <w:br/>
        <w:t xml:space="preserve">24. Consequently, the operation is not likely to harm competition in the markets for complementary health insurance and provident insurance.  </w:t>
        <w:br/>
        <w:t xml:space="preserve">B. MARKETS FOR THE DISTRIBUTION OF INSURANCE PRODUCTS ON BEHALF OF THIRD PARTIES  </w:t>
        <w:br/>
        <w:t xml:space="preserve">25. The notifying party estimates that, in a global market for the distribution of insurance products, the combined market share of MGC and Entrain is below [0-5]%. Within this market, the activities of the parties overlap in the distribution on behalf of third parties of funeral insurance and assistance insurance products. However, the notifying party has not been able to accurately assess the combined market share of the new entity in these segments. Nevertheless, it estimates, based on the parties' revenues, that their combined market share will in any case be below [0-5]% in each of these segments.  </w:t>
        <w:br/>
        <w:t>26. Consequently, the operation is not likely to harm competition in the markets for the distribution of insurance products on behalf of third parties.</w:t>
      </w:r>
    </w:p>
    <w:p>
      <w:r>
        <w:t xml:space="preserve">DECIDES  </w:t>
        <w:br/>
        <w:t xml:space="preserve">Article unique: The operation notified under number 13-106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