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https://www.autoritedelaconcurrence.fr/fr/decision-de-controle-des-concentrations/relative-la-creation-de-lunion-mutualiste-de-groupe-viverem</w:t>
      </w:r>
    </w:p>
    <w:p>
      <w:r>
        <w:t>Pages translated : 8</w:t>
      </w:r>
    </w:p>
    <w:p/>
    <w:p>
      <w:r>
        <w:rPr>
          <w:b/>
        </w:rPr>
        <w:t>[Pages 1–3]</w:t>
      </w:r>
    </w:p>
    <w:p>
      <w:r>
        <w:t xml:space="preserve">FRENCH REPUBLIC  </w:t>
        <w:br/>
        <w:t xml:space="preserve">Decision No. 15-DCC-153 of November 30, 2015  </w:t>
        <w:br/>
        <w:t xml:space="preserve">regarding the creation of the Union Mutualiste de Groupe Viverem  </w:t>
        <w:br/>
        <w:t xml:space="preserve">by the group Mutuelle Nationale des Hospitaliers  </w:t>
        <w:br/>
        <w:t>and the group Pasteur Mutualité</w:t>
      </w:r>
    </w:p>
    <w:p>
      <w:r>
        <w:t xml:space="preserve">The Competition Authority,  </w:t>
        <w:br/>
        <w:t xml:space="preserve">Having regard to the notification file submitted in full to the concentrations service on November 4, 2015, regarding the creation of the Union Mutualiste de Groupe Viverem by the Groupe Mutuelle Nationale des Hospitaliers and the Groupe Pasteur Mutualité, approved at the general assemblies of the Groupe Mutuelle Nationale des Hospitaliers on June 18, 2015, and of the Groupe Pasteur Mutualité on June 13, 2015;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 xml:space="preserve">1. The Groupe Mutuelle Nationale des Hospitaliers (hereinafter "GMNH") is a union of mutuals consisting of two mutuals (MNH and MNH Prévoyance) governed by the provisions of Book II of the Mutuality Code, with MNH being the founding mutual at the head of the group. GMNH primarily serves health and social professionals in the public and private sectors in the insurance sector, particularly in terms of supplementary health insurance and provident schemes. It is also active in the banking sector following the acquisition of the majority of the capital of the Banque Française Mutualiste (hereinafter "BFM").  </w:t>
        <w:br/>
        <w:t xml:space="preserve">2. The mutual insurance group Groupe Pasteur Mutualité (hereinafter "GPM") consists of two unions of mutuals (AGMF Prévoyance and AGMF Action Sociale) as well as a federation of mutualist groups (Fédération Groupe Pasteur Mutualité). The Association Générale des Médecins de France-Prévoyance (hereinafter "AGMF-Prévoyance") is the parent company of GPM. GPM primarily serves health professionals in the insurance sector, particularly in terms of supplementary health insurance and provident schemes.  </w:t>
        <w:br/>
        <w:t xml:space="preserve">3. The parties to the operation plan to establish a Union Mutualiste de Groupe (hereinafter "UMG"), named "Viverem", in order to create financial solidarity links between them and to gather the means, resources, and organizations necessary for the implementation of common projects.  </w:t>
        <w:br/>
        <w:t xml:space="preserve">4. UMGs are a legal form of enterprise introduced by Law No. 2008-776 of August 4, 2008, into the Mutuality Code. According to the provisions of the new Article L. 111-4-2 of this code, a UMG is an enterprise whose main activity consists "in taking and managing holdings, within the meaning of 2° of the same Article L. 212-7-1, in companies subject to State control pursuant to Article L. 310-1 or Article L. 310-1-1 of the Insurance Code, or in insurance or reinsurance companies whose registered office is located outside France, or in establishing and managing significant and lasting financial solidarity links with mutuals or unions governed by Book II of this code, provident institutions or unions governed by Title III of Book IX of the Social Security Code, mutual insurance companies governed by the Insurance Code, or insurance or reinsurance companies in mutual or cooperative form or jointly managed with their registered office in a Member State of the European Community or in another State party to the agreement on the European Economic Area." The same Article L. 111-4-2 adds that "when the UMG has, with an affiliated organization, significant and lasting financial solidarity links that do not result from holdings within the meaning of 2° of Article L. 212-7-1, these links are defined by an affiliation agreement."  </w:t>
        <w:br/>
        <w:t xml:space="preserve">5. In this case, the draft statutes and affiliation agreement of the UMG Viverem provide for a two-tier financial solidarity mechanism benefiting the members of the Union in the event of deterioration of their financial situation: a prevention mechanism and an aid mechanism. The triggering of the financial solidarity mechanism will not require a deliberation of the board of directors; it will be automatic upon crossing the contractual thresholds defined in the affiliation agreement of the UMG. The UMG Viverem will publish combined accounts, equivalent to consolidated accounts, based on the accounts of the affiliated companies.  </w:t>
        <w:br/>
        <w:t xml:space="preserve">6. The draft statutes of the Union provide that the UMG Viverem will aim to define the overall strategy of the Group. The affiliated companies will be required to seek the approval of the board of directors of the Union for the making of a certain number of decisions likely to significantly affect their situation, such as those relating to the volume of contributions or the structure of the commercial offer (expansion of their recruitment scope or their approvals). In the event of non-compliance with these commitments by an affiliated organization, the UMG Viverem will have the power to impose sanctions.  </w:t>
        <w:br/>
        <w:t xml:space="preserve">7. Furthermore, the UMG Viverem will aim to promote and coordinate common development projects and joint actions, organizing the means and resources necessary for their implementation. The affiliated organizations commit, in particular, to promote and coordinate common development projects and joint actions within the framework of the implementation of the group's strategy.  </w:t>
        <w:br/>
        <w:t xml:space="preserve">8. Finally, the draft statutes of the UMG Viverem provide that its general assembly will be composed of delegates divided into two colleges: the college of deputies of GMNH and the college of deputies of GPM, having respectively […] votes and […] votes. The general assembly will necessarily decide on matters relating to the activities carried out by the Union, the existence and amount of membership fees and the establishment fund, the combined accounts, and the admission of new members. It will also approve the annual operating and current investment budget of the Union. Its resolutions will be adopted by a simple majority, except for certain resolutions concerning, in particular, membership fees and dues, activities carried out by the Union, and the admission or exclusion of a member of the Union, for which a two-thirds majority will be required. The general assembly will elect the […] members of the board of directors, it being specified that GMNH and GPM have committed, by a letter dated September 17, 2015, to the distribution of the board members such that […] directors represent GMNH and […] directors represent GPM. The board of directors will make its decisions by a simple majority (notably for the appointment of the operational director of the president and the vice-president of the Union) except for certain decisions, such as contributions and membership fees and the approval of operations of the affiliated members of the Union subject to prior authorization from the Union, where a two-thirds majority will be required. GMNH will therefore be able to adopt decisions of the general assembly and the board of directors falling under the simple majority alone. GPM will be able to block decisions of the general assembly and the board of directors falling under the two-thirds majority, which do not, however, constitute strategic decisions within the meaning of competition law.  </w:t>
        <w:br/>
        <w:t xml:space="preserve">9. Given all these elements, the establishment of the UMG Viverem is analyzed as the gathering of activities of previously independent companies within a single economic entity, endowed with a unique and lasting economic management power, which will be exclusively controlled by GMNH. Consequently, the present notified operation constitutes a concentration within the meaning of Article L. 430-1 of the Commercial Code.  </w:t>
        <w:br/>
        <w:t>10. The companies concerned have achieved a consolidated turnover excluding taxes on a global scale of more than 150 million euros (GMNH: […] euros for the fiscal year ending December 31, 2014; GPM: […] euros for the same fiscal year). Each of these companies has achieved, in France, a turnover exceeding 50 million euros (GMNH: […] euros for the same fiscal year; GPM: […] euros for the same fiscal year). Given the turnover of the companies concerned, it does not fall under the jurisdiction of the European Union. On the other hand, the control thresholds mentioned in Article L. 430-2-I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11. The parties are simultaneously active in the insurance sector. Furthermore, GMNH is active in the banking sector, which has connections with the insurance sector.  </w:t>
        <w:br/>
        <w:t xml:space="preserve">A. THE INSURANCE SECTOR  </w:t>
        <w:br/>
        <w:t>12. The parties are simultaneously active in the upstream markets of the "production" of personal insurance products as well as in the downstream markets for the distribution of insurance on behalf of third parties.</w:t>
      </w:r>
    </w:p>
    <w:p>
      <w:r>
        <w:rPr>
          <w:b/>
        </w:rPr>
        <w:t>[Pages 4–6]</w:t>
      </w:r>
    </w:p>
    <w:p>
      <w:r>
        <w:t xml:space="preserve">1. UPSTREAM MARKETS FOR INSURANCE PRODUCTS  </w:t>
        <w:br/>
        <w:t xml:space="preserve">13. Decision-making practice consistently distinguishes between the markets for personal insurance, property and liability insurance, and reinsurance.  </w:t>
        <w:br/>
        <w:t xml:space="preserve">14. Regarding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  </w:t>
        <w:br/>
        <w:t xml:space="preserve">15. In the present case, GMNH and GPM are both active in the personal insurance and property insurance sectors.  </w:t>
        <w:br/>
        <w:t xml:space="preserve">16. Concerning the personal insurance market, further segmentation can be made between group insurance contracts, concluded between an insurer and a subscriber distinct from the beneficiary, and individual insurance contracts where the subscriber is also the beneficiary. Decision-making practice has also identified the market for savings and life insurance, which encompasses all financial products offered under optional capital or annuity insurances, and life insurance products.  </w:t>
        <w:br/>
        <w:t xml:space="preserve">17. Regarding the property insurance market, further segmentation can be made between insurances aimed at individuals and insurances aimed at professionals.  </w:t>
        <w:br/>
        <w:t xml:space="preserve">18. As for the geographical delimitation of the markets, except for certain insurances covering large-scale risks, the markets for insurance products have been considered to be of national dimension given consumer preferences, the existence of national legislation and tax constraints, the current structure of these markets, or the regulatory systems concerning this sector of activities.  </w:t>
        <w:br/>
        <w:t xml:space="preserve">19. In the present case, the parties to the operation are simultaneously active in personal insurance in the segments of supplementary health insurance and provident insurance. Additionally, the parties to the operation are simultaneously active in the segments of "Prév Actifs" insurance (compensation for loss of income in the event of temporary work interruption), autonomy insurance, funeral insurance, liability insurance, life insurance, and home auto insurance. Furthermore, GPM is also active in the medical liability insurance market.  </w:t>
        <w:br/>
        <w:t xml:space="preserve">20. There is no reason to challenge these delimitations in the context of the present operation.  </w:t>
        <w:br/>
        <w:t xml:space="preserve">1 See in particular the decisions of the European Commission COMP/M.5083 - Groupama / OTP Garancia of April 15, 2008, COMP/M.3556 - Fortis / BCP of January 19, 2005, as well as the decisions of the Competition Authority No. 13-DCC-84 of July 4, 2013, concerning the affiliation of the interprofessional mutual SMI to the mutual insurance group Covéa, No. 11-DCC-97 of June 29, 2011, concerning the affiliation of the provident institution Apgis to the mutual insurance group Covéa, and No. 10-DCC-52 of June 2, 2010, concerning the creation of a Mutual Insurance Group Company ("SGAM") by MACIF, MAIF, and MATMUT.  </w:t>
        <w:br/>
        <w:t xml:space="preserve">2 See in particular the decision of the European Commission No. COMP / M.5083 mentioned above and the decision of the Competition Authority No. 09-DCC-61 of November 4, 2009, concerning the exclusive control of the mutual Altéis and the mutual Releya by the mutual Prévadiès.  </w:t>
        <w:br/>
        <w:t xml:space="preserve">3 See in particular the decision of the Competition Authority No. 10-DCC-52 of June 2, 2010, concerning the creation of a mutual insurance group company ("SGAM") by MACIF, MAIF, and MATMUT. See also the letter from the Minister of Economy, Finance and Industry C2007-49 of August 21, 2007, to the boards of the provident institution AG2R Prévoyance and the company La Mondiale, concerning a concentration in the health and retirement provident insurance sector, B.O.C.C.R.F. No. 8 bis of October 26, 2007.  </w:t>
        <w:br/>
        <w:t>4 See for example the decisions of the Competition Authority No. 13-DCC-84 of July 4, 2013, concerning the affiliation of the interprofessional mutual SMI to the mutual insurance group Covéa, No. 10-DCC-52 of June 2, 2010, concerning the creation of a Mutual Insurance Group Company ("SGAM") by MACIF, MAIF, and MATMUT, and No. 11-DCC-97 of June 29, 2011, concerning the affiliation of the provident institution Apgis to the mutual insurance group Covéa.</w:t>
      </w:r>
    </w:p>
    <w:p>
      <w:r>
        <w:t xml:space="preserve">2. DOWNSTREAM MARKETS FOR THE DISTRIBUTION OF INSURANCE PRODUCTS ON BEHALF OF THIRD PARTIES  </w:t>
        <w:br/>
        <w:t xml:space="preserve">21. The distribution of insurance products involves marketing and ensuring the administrative management of guarantees or insurance contracts whose risk is borne by third-party insurers. Competition authorities have left open the question of the precise delimitation of the markets in this sector, with several segmentations being considered.  </w:t>
        <w:br/>
        <w:t xml:space="preserve">22. A market for the distribution of insurance products by independent intermediaries, encompassing all distribution channels (agents, brokers, and other intermediaries including banks), except for direct distribution by insurance companies, has thus been identified. A market limited to insurance brokerage and including only this distribution channel has also been considered by decision-making practice.  </w:t>
        <w:br/>
        <w:t xml:space="preserve">23. The markets for the distribution of insurance products can also be segmented based on the category of insured risks (property insurance and personal insurance) and according to the clientele (businesses or individuals).  </w:t>
        <w:br/>
        <w:t xml:space="preserve">24. In the present case, the parties are simultaneously active in the markets for the distribution of insurance products on behalf of third parties and market automobile and home insurance products designed by Thélem assurances.  </w:t>
        <w:br/>
        <w:t xml:space="preserve">25. As for the geographical delimitation of the markets, they have been considered essentially to be of national dimension.  </w:t>
        <w:br/>
        <w:t xml:space="preserve">26. The question of the exact delimitation of the markets for the distribution of insurance products can, however, be left open insofar as, regardless of the delimitation retained, the conclusions of the competitive analysis will remain unchanged.  </w:t>
        <w:br/>
        <w:t xml:space="preserve">B. THE BANKING SECTOR  </w:t>
        <w:br/>
        <w:t xml:space="preserve">1. MARKET FOR SERVICES  </w:t>
        <w:br/>
        <w:t xml:space="preserve">27. European and national decision-making practice traditionally distinguishes three categories of services:  </w:t>
        <w:br/>
        <w:t xml:space="preserve">- banking services aimed at individuals and households (retail banking);  </w:t>
        <w:br/>
        <w:t xml:space="preserve">- banking services aimed at businesses (commercial banking);  </w:t>
        <w:br/>
        <w:t xml:space="preserve">- operations on financial markets (investment and financing banking).  </w:t>
        <w:br/>
        <w:t xml:space="preserve">28. Furthermore, decision-making practice has considered distinguishing a market for intermediation in banking operations, distinct from the markets for the provision of banking services.  </w:t>
        <w:br/>
        <w:t xml:space="preserve">29. It follows from decision-making practice that retail banking encompasses banking services aimed at individuals and households. Furthermore, entrepreneurs have been considered as clients of retail banking, as their needs are closer to those of individuals than to those of commercial companies.  </w:t>
        <w:br/>
        <w:t xml:space="preserve">30. For this entire clientele, the following markets have been analyzed: the market for sight deposits, the market for banking savings (notably savings bonds and accounts that are not immediately redeemable such as term accounts), the market for off-balance-sheet savings (Variable Capital Investment Company, Mutual Fund, and pension funds), the market for mortgage credit, the market for consumer credit, the market for debt restructuring credit, the market for the issuance of payment cards (issuance for the benefit of clients), the market for private banking, or the market for securities custody ("retail custody").  </w:t>
        <w:br/>
        <w:t xml:space="preserve">31. There is no reason to challenge these delimitations in the context of the present operation.  </w:t>
        <w:br/>
        <w:t xml:space="preserve">32. In the present case, GMNH is active through BFM in the retail banking markets in the segments of banking savings, consumer credit, and mortgage credit.  </w:t>
        <w:br/>
        <w:t xml:space="preserve">2. GEOGRAPHICAL MARKET  </w:t>
        <w:br/>
        <w:t xml:space="preserve">33. National and European competition authorities have generally considered that retail banking markets were at most of national dimension, despite some European harmonization.  </w:t>
        <w:br/>
        <w:t xml:space="preserve">34. Decision-making practice has also considered that regarding banking services for individuals, the proximity of agencies was an important factor as these are primarily relational activities. It has also emphasized that the competitive conditions in metropolitan territory were not homogeneous, particularly given the significant role held by mutual and cooperative networks in the French banking system, differences in establishment between banking groups, the adaptation of commercial strategies to the local competitive context, and the existence of regional banking brands. The competitive analysis has thus been conducted both at the national level and at the local level, with practice retaining, for the latter level, circles with a radius corresponding to a journey of about twenty minutes by car around a municipality.  </w:t>
        <w:br/>
        <w:t>35. There is no reason to challenge this delimitation in the context of the present operation.</w:t>
      </w:r>
    </w:p>
    <w:p>
      <w:r>
        <w:rPr>
          <w:b/>
        </w:rPr>
        <w:t>[Pages 7–8]</w:t>
      </w:r>
    </w:p>
    <w:p>
      <w:r>
        <w:t>III. Competitive Analysis</w:t>
        <w:br/>
        <w:t>36. The activities of the parties overlap in the insurance sector in the upstream market for insurance products and in the downstream market for the distribution of insurance products on behalf of third parties. Furthermore, GMNH is active in the banking sector, which has connectivity links with the insurance sector.</w:t>
        <w:br/>
        <w:t>A. ANALYSIS OF HORIZONTAL EFFECTS</w:t>
        <w:br/>
        <w:t>1. ON THE UPSTREAM MARKET FOR INSURANCE PRODUCTS</w:t>
        <w:br/>
        <w:t>37. In the market for supplementary health insurance, the parties estimate that the market share of the new entity will be less than [0-5]% (GMNH: [0-5]%; GPM: [0-5]%). In the event of segmentation between individual insurance and group insurance, the activities of the parties overlap only in the individual insurance segment, where the parties estimate that the new entity will hold a combined market share of [0-5]%. Moreover, the new entity will face competition from numerous operators, such as Union Harmonie Mutuelles ([5-10]% market share), the Istya group ([5-10]% market share), Axa France ([5-10]% market share), and Groupama Gan ([5-10]% market share).</w:t>
        <w:br/>
        <w:t>38. In the market for provident insurance, the notifying parties estimate that the market share of the new entity will be less than 0.5%. In the event of segmentation between individual insurance and group insurance, the activities of the parties no longer overlap since GMNH is active only in the group insurance segment and GPM only in the individual insurance segment.</w:t>
        <w:br/>
        <w:t>39. In other insurance product markets where the operation results in an overlap, the market share of the new entity will remain below [0-5]%.</w:t>
        <w:br/>
        <w:t>40. Consequently, this operation is not likely to harm competition through horizontal effects in the upstream market for insurance products.</w:t>
        <w:br/>
        <w:t>2. ON THE DOWNSTREAM MARKET FOR THE DISTRIBUTION OF INSURANCE PRODUCTS ON BEHALF OF THIRD PARTIES</w:t>
        <w:br/>
        <w:t>41. In each of the segments considered by practice and for which the operation leads to an overlap, the market share of the new entity will remain below [0-5]%.</w:t>
        <w:br/>
        <w:t>42. Consequently, this operation is not likely to harm competition through horizontal effects in the downstream market for the distribution of insurance on behalf of third parties.</w:t>
      </w:r>
    </w:p>
    <w:p>
      <w:r>
        <w:t>B. ANALYSIS OF CONGLOMERATE EFFECTS</w:t>
        <w:br/>
        <w:t>43. A concentration is likely to lead to conglomerate effects when the new entity extends or strengthens its presence in markets that have connectivity links with other markets where it holds market power. However, decision-making practice generally considers that a risk of vertical or conglomerate effect can be ruled out as long as the market share of the entity resulting from the operation in the relevant markets does not exceed 30%.</w:t>
        <w:br/>
        <w:t>44. In this case, GMNH estimates that it represents less than ([5-10]% of the retail banking market, regardless of the segmentation considered. Similarly, the market share of the combined entity will remain below ([0-5]% in the various insurance markets, as indicated in the previous developments.</w:t>
        <w:br/>
        <w:t>45. Consequently, the operation is not likely to harm competition through conglomerate effects.</w:t>
        <w:br/>
        <w:t>DECIDES</w:t>
        <w:br/>
        <w:t>Sole Article: The operation notified under number 15-118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