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https://www.autoritedelaconcurrence.fr/fr/decision-de-controle-des-concentrations/relative-la-creation-dun-etablissement-publique-portuaire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21-DCC-45 of March 19, 2021  </w:t>
        <w:br/>
        <w:t xml:space="preserve">regarding the creation of a single public port establishment  </w:t>
        <w:br/>
        <w:t xml:space="preserve">combining the Grand Port Maritime du Havre, the Grand Port  </w:t>
        <w:br/>
        <w:t xml:space="preserve">Maritime de Rouen, and the Port Autonome de Paris  </w:t>
        <w:br/>
        <w:t>The Competition Authority,</w:t>
      </w:r>
    </w:p>
    <w:p>
      <w:r>
        <w:t xml:space="preserve">Having regard to the complete notification file submitted to the mergers department on March 3, 2021,  </w:t>
        <w:br/>
        <w:t xml:space="preserve">concerning the creation of a single public port establishment of the Seine, integrating the Grand  </w:t>
        <w:br/>
        <w:t xml:space="preserve">Port Maritime du Havre, the Grand Port Maritime de Rouen, and the Port Autonome de Paris, as provided  </w:t>
        <w:br/>
        <w:t>by the provisions of Law No. 2019-1428 of December 24, 2019, on mobility orientation;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creation of a single public port establishment of the  </w:t>
        <w:br/>
        <w:t xml:space="preserve">Seine, integrating the Grand Port Maritime du Havre, the Grand Port Maritime de Rouen, and the Port  </w:t>
        <w:br/>
        <w:t xml:space="preserve">Autonome de Paris. It constitutes a concentration operation within the meaning of Article L. 430-1  </w:t>
        <w:br/>
        <w:t xml:space="preserve">of the Commercial Code. Given the turnover generated by the companies involved, the operation does not fall  </w:t>
        <w:br/>
        <w:t xml:space="preserve">under the jurisdiction of the European Union. On the other hand, the control thresholds mentioned in point I of  </w:t>
        <w:br/>
        <w:t xml:space="preserve">Article L. 430-2 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Single Article: The operation notified under number 20-148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