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https://www.autoritedelaconcurrence.fr/fr/decision-de-controle-des-concentrations/relative-la-creation-dune-entreprise-commune-de-plein-0</w:t>
      </w:r>
    </w:p>
    <w:p>
      <w:r>
        <w:t>Pages translated : 5</w:t>
      </w:r>
    </w:p>
    <w:p/>
    <w:p>
      <w:r>
        <w:rPr>
          <w:b/>
        </w:rPr>
        <w:t>[Pages 1–3]</w:t>
      </w:r>
    </w:p>
    <w:p>
      <w:r>
        <w:t xml:space="preserve">RÉPUBLIQUE FRANÇAISE  </w:t>
        <w:br/>
        <w:t xml:space="preserve">Decision No. 10-DCC-153 of November 12, 2010  </w:t>
        <w:br/>
        <w:t xml:space="preserve">regarding the creation of a full-function joint venture by  </w:t>
        <w:br/>
        <w:t>D2T and Mecachrome</w:t>
      </w:r>
    </w:p>
    <w:p>
      <w:r>
        <w:t xml:space="preserve">The Competition Authority,  </w:t>
        <w:br/>
        <w:t xml:space="preserve">Having regard to the notification file sent to the concentrations service on September 10, 2010, declared complete on October 11, 2010, regarding the creation of a full-function joint venture by D2T and Mecachrome, formalized by the signing of a memorandum of understanding dated August 11,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D2T is a French law company specialized in engine engineering and offers, to a clientele consisting of manufacturers and equipment suppliers active in the automotive and heavy-duty sectors, services for the development and calibration of powertrains, as well as equipment and engineering services for test benches. D2T is a 100% subsidiary of IFP Investissements, which is wholly owned by the public establishment IFP Energies Nouvelles. The latter's mission is to develop future technologies and materials in the fields of energy, transport, and the environment, notably by taking stakes in industrial companies, such as D2T.  </w:t>
        <w:br/>
        <w:t xml:space="preserve">2. Mecachrome, a simplified joint-stock company under French law, is a 100% subsidiary of Mecachrome Canada, which is itself wholly owned by Mecadev. The capital of the latter is distributed among the venture capital funds Aerofund I and Aerofund II, managed by the management company ACE Management ([…] %)1, the Fonds de Solidarité des Travailleurs du Québec ([…] %)2, and the Fonds Stratégique d’Investissement ([…] %), which is itself controlled by the Caisse des Dépôts et Consignations. Furthermore, the statutes of the company Mecadev grant its three shareholders a number of veto rights3 enabling them to exercise a decisive influence over Mecadev.  </w:t>
        <w:br/>
        <w:t xml:space="preserve">3. The Mecachrome group manufactures and markets complex high-precision components (notably engine components) primarily intended for the aerospace, automotive, and heavy-duty industries, as well as industrial equipment components. With several production sites and design offices, Mecachrome is mainly active in France, Canada, and Morocco.  </w:t>
        <w:br/>
        <w:t xml:space="preserve">4. The companies D2T and Mecachrome have committed, according to a memorandum of understanding signed on August 11, 2010, to create a joint venture named Teos, which will have as its main purpose to market, to a clientele primarily consisting of industrial players in the automotive and aerospace sectors, "turnkey" design projects for powertrains, that is to say, a set of services including engineering, design, testing, and manufacturing of powertrains.  </w:t>
        <w:br/>
        <w:t xml:space="preserve">5. The capital and voting rights of Teos will be held 50% by its two parent companies, which will be equally represented on the management committee, the body responsible for deliberating on the strategic decisions of the joint venture.  </w:t>
        <w:br/>
        <w:t xml:space="preserve">6. In accordance with the protocol concluded between the parties, it is provided that the joint venture will have its own human resources: provision by the parent companies of […] employees responsible for commercial prospecting, hiring of […] engineers from the French design office of Mecachrome as well as new employees depending on the needs of the company. Teos will also have technical means (notably in IT equipment) and financial resources (with a projected turnover of […] million euros for the year 2011) and will have its own premises. Aiming to develop its own economic activity of turnkey design of powertrains, Teos may, if necessary, subcontract its testing and manufacturing activities to its shareholders, the memorandum of understanding expressly providing that this subcontracting will occur following a competitive bidding process, independently, based on normal commercial conditions. Thus, the joint venture will have sufficient resources to operate in the market autonomously and sustainably and can thus be qualified as a full-function joint venture.  </w:t>
        <w:br/>
        <w:t>7. The concerned companies together achieve a total worldwide turnover of more than 150 million euros (D2T group: […] million euros for 2009; Mecachrome group: […] billion euros). At least two of these companies achieve a turnover in France exceeding 50 million euros (D2T group: […] million euros for 2009; Mecachrome group: more than […] billion euros for the same year). Furthermore, with a total turnover in the European Union of [&lt;250] million euros, D2T achieves a turnover exceeding 25 million euros in only two member states.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8. The new company will operate solely in the sector of turnkey design projects for powertrains, and it will be necessary to define the markets relevant to this sector.  </w:t>
        <w:br/>
        <w:t xml:space="preserve">A. PRODUCT MARKETS  </w:t>
        <w:br/>
        <w:t xml:space="preserve">9. The joint venture will market complete design and manufacturing projects for powertrains including engineering, design, calibration, testing, and manufacturing, in small series or pre-series, of powertrains for the automotive, heavy-duty, and aerospace sectors.  </w:t>
        <w:br/>
        <w:t xml:space="preserve">10. Specifically, a powertrain can be defined as the set of elements that participate in the mobility and movement of the vehicle, machine, or aircraft and includes in particular: the engine itself, the fuel system, the ignition system, the exhaust system, the complete transmission system (gearbox, clutch), and the engine control system (computers, sensors, actuators, injectors).  </w:t>
        <w:br/>
        <w:t xml:space="preserve">11. Furthermore, the development of a powertrain generally occurs in several phases:  </w:t>
        <w:br/>
        <w:t xml:space="preserve">- firstly, a study and development phase that includes design and engineering, testing and calibration, manufacturing one or more prototypes or demonstrators, testing conducted on these, validation, and final adjustment of the characteristics of the powertrain;  </w:t>
        <w:br/>
        <w:t xml:space="preserve">- secondly, an industrialization phase that covers two situations: either the manufacturing of a small number of powertrains (so-called pre-series manufacturing) in preparation for series production; or the manufacturing of powertrains for motorsport, which is, by nature, small series production;  </w:t>
        <w:br/>
        <w:t xml:space="preserve">- thirdly, the series manufacturing phase, that is to say, mass production for large volumes and over a long duration.  </w:t>
        <w:br/>
        <w:t xml:space="preserve">12. In this case, the joint venture is intended to ensure the first and second phases of development of powertrains but does not plan, in the short or medium term, to engage in series manufacturing.  </w:t>
        <w:br/>
        <w:t>13. The parties to the operation believe that complete design and manufacturing projects for powertrains constitute a relevant product market, distinct from the separate markets corresponding to each of the integrated functions (engineering, calibration, testing, etc.). They then consider segmenting this market based on the final application of the powertrain, distinguishing in particular between automotive, heavy-duty, motorsport, commercial aircraft, military aircraft, helicopters, motorcycles, and industrial machines. On the other hand, the parties consider that it would not be relevant to establish</w:t>
      </w:r>
    </w:p>
    <w:p>
      <w:r>
        <w:rPr>
          <w:b/>
        </w:rPr>
        <w:t>[Pages 4–5]</w:t>
      </w:r>
    </w:p>
    <w:p>
      <w:r>
        <w:t>a finer segmentation according to the powertrain types (gasoline, diesel, hybrid) or their power on the grounds that neither the suppliers nor the clients (manufacturers in the automotive, heavy-duty, or aerospace sectors) would be specialized based on these characteristics. In this regard, the parties indicate that the joint venture is intended, in the long term, to offer projects related to different types of powertrains, particularly for various end applications (automobile, helicopter, motorsport, etc.).</w:t>
      </w:r>
    </w:p>
    <w:p>
      <w:r>
        <w:t>14. Beyond this presentation, the parties have nevertheless specified that the joint venture could, incidentally, offer engineering and design services for powertrains, without these being linked to a comprehensive turnkey design project. Similarly, on the demand side, manufacturers and equipment suppliers sometimes require services concerning only one part of a project, whether it be design, validation, or calibration. Consequently, a segmentation of the market could be considered according to the main integrated functions, notably distinguishing between engineering and design services, testing and calibration services, and finally the manufacturing of powertrains.</w:t>
      </w:r>
    </w:p>
    <w:p>
      <w:r>
        <w:t>15. In any case, the question of the precise delimitation of these markets can be left open, insofar as, regardless of the assumptions made, the conclusions of the competitive analysis will remain unchanged.</w:t>
      </w:r>
    </w:p>
    <w:p>
      <w:r>
        <w:t>B. GEOGRAPHICAL MARKETS</w:t>
      </w:r>
    </w:p>
    <w:p>
      <w:r>
        <w:t>16. National and community decision-making practice4 has generally considered that the markets for the production of mechanical parts or various components intended for automotive or aerospace manufacturers were at least European in scope, if not global. The parties believe, in this case, that it is relevant to analyze the markets at least at a European level, given that the joint venture is intended to market its services in many countries, including outside the European area, and that its competitors operate at a global level. However, they presented their market shares at three levels: global, European, national.</w:t>
      </w:r>
    </w:p>
    <w:p>
      <w:r>
        <w:t>17. Therefore, it is not necessary to conclude regarding the exact definition of geographical markets, as, in the absence of any competitive issues, the conclusions of the competitive analysis will remain unchanged.</w:t>
      </w:r>
    </w:p>
    <w:p>
      <w:r>
        <w:t>III. COMPETITIVE ANALYSIS</w:t>
      </w:r>
    </w:p>
    <w:p>
      <w:r>
        <w:t>18. Regarding the market for turnkey design projects for powertrains, there is no overlap in activity between D2T and Mecachrome, since the former does not market this type of integrated projects. The latter, which will transfer its competent design office in this field to the new company, presented, in 2009, a market share of less than [0-5]% at the national level and [0-5]% at the European or global level. Several competing companies, such as AVL, IAV, FEV, Ricardo, are present in this market, with significantly larger market shares.</w:t>
      </w:r>
    </w:p>
    <w:p>
      <w:r>
        <w:t>19. Regarding a potential segmentation of the market between, first, the engineering and design services for powertrains, second, the testing and calibration services for powertrains, and, third, the manufacturing of powertrains, the activities of the parties overlap only in the first. Specifically, the parties estimated their combined market share at [0-5]% at the global level ([0-5]% for the D2T-IFP group and [0-5]% for the joint venture Teos), [0-5]% at the European level ([0-5]% for the D2T-IFP group and [0-5]% for Teos), and [5-10]% at the national level ([5-10]% for the D2T-IFP group and [0-5]% for Teos). They face competition from several major players, such as AVL, FEV, IAV, Ricardo.</w:t>
      </w:r>
    </w:p>
    <w:p>
      <w:r>
        <w:t>20. Furthermore, since the operation consists of the creation of a joint venture, it is necessary to consider the potential risks of coordination between the parent companies in the markets where they would operate simultaneously. However, specifically, the D2T and Mecachrome groups will not be active in the same markets after the operation, as the former will operate in the field of testing and calibration services while the latter will only operate in the manufacturing and marketing of components for the automotive or aerospace sector. Therefore, the risk of coordination between the parent companies can be ruled out.</w:t>
      </w:r>
    </w:p>
    <w:p>
      <w:r>
        <w:t>21. Given the above elements, the operation is not likely to harm competition in the relevant markets.</w:t>
      </w:r>
    </w:p>
    <w:p>
      <w:r>
        <w:t>DECIDES</w:t>
      </w:r>
    </w:p>
    <w:p>
      <w:r>
        <w:t>Sole Article: The operation notified under number 10-0146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