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https://www.autoritedelaconcurrence.fr/fr/decision-de-controle-des-concentrations/relative-la-creation-dune-entreprise-commune-de-plein-10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19-DCC-129 of July 3, 2019</w:t>
        <w:br/>
        <w:t>regarding the creation of a full-function joint venture between</w:t>
        <w:br/>
        <w:t>Covéa and BPCE</w:t>
        <w:br/>
        <w:t>The Competition Authority,</w:t>
        <w:br/>
        <w:t>Having regard to the notification file submitted in full to the mergers department on June 17, 2019,</w:t>
        <w:br/>
        <w:t>concerning the creation of a full-function joint venture between Covéa and BPCE,</w:t>
        <w:br/>
        <w:t>formalized by a letter of commitment dated May 29, 2019;</w:t>
        <w:br/>
        <w:t>Having regard to Book IV of the Commercial Code relating to the freedom of prices and competition, and</w:t>
        <w:br/>
        <w:t>in particular its Articles L. 430-1 to L. 430-7;</w:t>
        <w:br/>
        <w:t>Adopts the following decision:</w:t>
        <w:br/>
        <w:t>1. The notified operation consists of the creation of a full-function joint venture,</w:t>
        <w:br/>
        <w:t>Églé Patrimoine, jointly controlled by Covéa and BPCE. It constitutes a concentration</w:t>
        <w:br/>
        <w:t>within the meaning of Article L. 430-1 of the Commercial Code. Given the turnover achieved</w:t>
        <w:br/>
        <w:t>by the companies concerned, the notification thresholds of Article 1 paragraph 2 of Regulation</w:t>
        <w:br/>
        <w:t>(EC) 139/2004 are exceeded, but since each of the concerned companies generates more than two</w:t>
        <w:br/>
        <w:t>thirds of its turnover in the Union in France, the operation does not fall under the jurisdiction</w:t>
        <w:br/>
        <w:t>of the European Union. On the other hand, the control thresholds mentioned in 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The markets concerned by the operation are those of real estate services, consistently defined</w:t>
        <w:br/>
        <w:t>by the decision-making practice of the competition authorities.</w:t>
        <w:br/>
        <w:t>3. Regardless of the segmentations retained, the combined market shares of the parties are</w:t>
        <w:br/>
        <w:t>below 25%.</w:t>
        <w:br/>
        <w:t>4. Considering the elements of the file and in particular point 384 of the guidelines of</w:t>
        <w:br/>
        <w:t>the Competition Authority regarding the control of concentrations, the operation is not</w:t>
        <w:br/>
        <w:t>likely to harm competition.</w:t>
      </w:r>
    </w:p>
    <w:p>
      <w:r>
        <w:t>DECIDES</w:t>
        <w:br/>
        <w:t>Sole Article: The operation notified under number 19-144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