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https://www.autoritedelaconcurrence.fr/fr/decision-de-controle-des-concentrations/relative-la-creation-dune-entreprise-commune-de-plein-13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19-DCC-251 of December 13, 2019  </w:t>
        <w:br/>
        <w:t xml:space="preserve">regarding the creation of a full-function joint venture by  </w:t>
        <w:br/>
        <w:t xml:space="preserve">the companies Kerdonis and ITM Entreprises  </w:t>
        <w:br/>
        <w:t xml:space="preserve">The Competition Authority,  </w:t>
        <w:br/>
        <w:t xml:space="preserve">Having regard to the notification file submitted in full to the mergers department  </w:t>
        <w:br/>
        <w:t xml:space="preserve">on November 15, 2019, concerning the creation of a full-function joint venture, Jodi,  </w:t>
        <w:br/>
        <w:t xml:space="preserve">by the companies Kerdonis and ITM Entreprises and formalized by the signing of the articles of association of the  </w:t>
        <w:br/>
        <w:t xml:space="preserve">company Jodi dated November 23,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creation of a full-function joint venture by the  </w:t>
        <w:br/>
        <w:t xml:space="preserve">companies Kerdonis and ITM Entreprises, named Jodi, which will operate after the transaction, a  </w:t>
        <w:br/>
        <w:t xml:space="preserve">food-dominant retail outlet of the supermarket type under the Intermarché brand, with a  </w:t>
        <w:br/>
        <w:t xml:space="preserve">surface area of 1,500 m², located in Nantes (44). It constitutes a concentration operation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retail control thresholds mentioned in point II of Article L. 430-2 of the Commercial Code are exceeded. This  </w:t>
        <w:br/>
        <w:t xml:space="preserve">operation is therefore subject to the provisions of Articles L. 430-3 and following of the Commercial Code relating to economic  </w:t>
        <w:br/>
        <w:t xml:space="preserve">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19-307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