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https://www.autoritedelaconcurrence.fr/fr/decision-de-controle-des-concentrations/relative-la-creation-dune-entreprise-commune-de-plein-14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21-DCC-15 of January 25, 2021  </w:t>
        <w:br/>
        <w:t xml:space="preserve">regarding the creation of a full-function joint venture by  </w:t>
        <w:br/>
        <w:t xml:space="preserve">the companies Koguma DC Holding and Colony Capital  </w:t>
        <w:br/>
        <w:t xml:space="preserve">The Competition Authority,  </w:t>
        <w:br/>
        <w:t xml:space="preserve">Having regard to the notification file submitted in full to the mergers department on January 4, 2021,  </w:t>
        <w:br/>
        <w:t xml:space="preserve">concerning the creation of a full-function joint venture by the companies Koguma DC Holding (hereinafter "Koguma") and Colony Capital, formalized by a shareholders' agreement dated January 4, 2021;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creation of a full-function joint venture by the companies Koguma, a subsidiary of the Goldman Sachs group, and Colony Capital, named DC ADC MIDCO-S1, which will be active in the sector of providing colocation services for data centers in Japan. It constitutes a concentration operation within the meaning of Article L. 430-1 of the Commercial Code. Given the revenues generated by the companies involved, the operation does not fall under the jurisdiction of the European Union. However, the control thresholds mentioned in point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20-260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